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Questions for clients: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current plan (both in and out cash flow) to bridge the payroll gap now there is a change in Management (Maggie leaving the board)?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government emergency fund for small business an option if the organization runs into critical cash flow issues potentially?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much funding can be reserved to acquire new fund/capital via business development or other means of fund-raising events?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reduce operational expenses by cutting chefs/line cooks, are there any plans in the future to outsource these activities at lower costs to increase cash flow retention?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