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7B11CEBE" wp14:textId="77777777">
      <w:pPr>
        <w:pStyle w:val="Normal"/>
        <w:widowControl w:val="1"/>
        <w:spacing w:before="0" w:after="0"/>
        <w:jc w:val="center"/>
        <w:rPr>
          <w:rFonts w:ascii="Arial" w:hAnsi="Arial" w:eastAsia="Calibri" w:cs=""/>
          <w:kern w:val="2"/>
          <w:sz w:val="24"/>
          <w:szCs w:val="24"/>
          <w:lang w:val="en-GB" w:eastAsia="en-US" w:bidi="ar-SA"/>
        </w:rPr>
      </w:pPr>
      <w:bookmarkStart w:name="_Int_27VT5VcO" w:id="538193514"/>
      <w:r w:rsidR="128C2073">
        <w:rPr>
          <w:rFonts w:ascii="Arial" w:hAnsi="Arial" w:eastAsia="Calibri" w:cs="Arial"/>
          <w:b w:val="1"/>
          <w:bCs w:val="1"/>
          <w:color w:val="000000" w:themeColor="text1"/>
          <w:kern w:val="2"/>
          <w:sz w:val="36"/>
          <w:szCs w:val="36"/>
          <w:lang w:val="en-GB" w:eastAsia="en-US" w:bidi="ar-SA"/>
        </w:rPr>
        <w:t>Task 1 – Exploring One (1) Macro and One (1) Micro Theory</w:t>
      </w:r>
      <w:bookmarkEnd w:id="538193514"/>
    </w:p>
    <w:p xmlns:wp14="http://schemas.microsoft.com/office/word/2010/wordml" w14:paraId="2C049FAF" wp14:textId="77777777">
      <w:pPr>
        <w:pStyle w:val="Normal"/>
        <w:widowControl w:val="false"/>
        <w:rPr>
          <w:rFonts w:ascii="Arial" w:hAnsi="Arial"/>
        </w:rPr>
      </w:pPr>
      <w:r>
        <w:rPr>
          <w:rFonts w:ascii="Arial" w:hAnsi="Arial" w:eastAsia="Times New Roman" w:cs="Arial"/>
          <w:b/>
          <w:color w:val="000000"/>
          <w:sz w:val="22"/>
          <w:u w:val="single"/>
          <w:lang w:val="en-GB" w:eastAsia="en-GB"/>
        </w:rPr>
        <w:t>Task 1</w:t>
      </w:r>
      <w:r>
        <w:rPr>
          <w:rFonts w:ascii="Arial" w:hAnsi="Arial" w:eastAsia="Times New Roman" w:cs="Arial"/>
          <w:color w:val="000000"/>
          <w:sz w:val="22"/>
          <w:lang w:val="en-GB" w:eastAsia="en-GB"/>
        </w:rPr>
        <w:t xml:space="preserve"> </w:t>
      </w:r>
      <w:r>
        <w:rPr>
          <w:rFonts w:ascii="Arial" w:hAnsi="Arial" w:eastAsia="Times New Roman" w:cs="Arial"/>
          <w:i/>
          <w:color w:val="000000"/>
          <w:sz w:val="22"/>
          <w:lang w:val="en-GB" w:eastAsia="en-GB"/>
        </w:rPr>
        <w:t xml:space="preserve">(Table – word limit 300 words) </w:t>
      </w:r>
      <w:r>
        <w:rPr>
          <w:rFonts w:ascii="Arial" w:hAnsi="Arial" w:eastAsia="Times New Roman" w:cs="Arial"/>
          <w:b/>
          <w:color w:val="000000"/>
          <w:sz w:val="22"/>
          <w:lang w:val="en-GB" w:eastAsia="en-GB"/>
        </w:rPr>
        <w:t>(AC 2.1)</w:t>
      </w:r>
    </w:p>
    <w:p xmlns:wp14="http://schemas.microsoft.com/office/word/2010/wordml" w14:paraId="768EED78" wp14:textId="77777777">
      <w:pPr>
        <w:pStyle w:val="ListParagraph"/>
        <w:widowControl w:val="0"/>
        <w:numPr>
          <w:ilvl w:val="0"/>
          <w:numId w:val="1"/>
        </w:numPr>
        <w:spacing w:line="276" w:lineRule="auto"/>
        <w:rPr>
          <w:rFonts w:ascii="Arial" w:hAnsi="Arial"/>
        </w:rPr>
      </w:pPr>
      <w:r w:rsidRPr="128C2073" w:rsidR="128C2073">
        <w:rPr>
          <w:rFonts w:ascii="Arial" w:hAnsi="Arial" w:eastAsia="Times New Roman" w:cs="Arial"/>
          <w:color w:val="000000" w:themeColor="text1" w:themeTint="FF" w:themeShade="FF"/>
          <w:sz w:val="22"/>
          <w:szCs w:val="22"/>
          <w:lang w:val="en-GB" w:eastAsia="en-GB"/>
        </w:rPr>
        <w:t xml:space="preserve">Prepare a table in which you </w:t>
      </w:r>
      <w:r w:rsidRPr="128C2073" w:rsidR="128C2073">
        <w:rPr>
          <w:rFonts w:ascii="Arial" w:hAnsi="Arial" w:eastAsia="Times New Roman" w:cs="Arial"/>
          <w:color w:val="000000" w:themeColor="text1" w:themeTint="FF" w:themeShade="FF"/>
          <w:sz w:val="22"/>
          <w:szCs w:val="22"/>
          <w:lang w:val="en-GB" w:eastAsia="en-GB"/>
        </w:rPr>
        <w:t>identify</w:t>
      </w:r>
      <w:r w:rsidRPr="128C2073" w:rsidR="128C2073">
        <w:rPr>
          <w:rFonts w:ascii="Arial" w:hAnsi="Arial" w:eastAsia="Times New Roman" w:cs="Arial"/>
          <w:color w:val="000000" w:themeColor="text1" w:themeTint="FF" w:themeShade="FF"/>
          <w:sz w:val="22"/>
          <w:szCs w:val="22"/>
          <w:lang w:val="en-GB" w:eastAsia="en-GB"/>
        </w:rPr>
        <w:t xml:space="preserve"> the key aspects of one (1) micro-sociological and one (1) macro-sociological perspective (</w:t>
      </w:r>
      <w:bookmarkStart w:name="_Int_OLxlZAU2" w:id="1853350060"/>
      <w:r w:rsidRPr="128C2073" w:rsidR="128C2073">
        <w:rPr>
          <w:rFonts w:ascii="Arial" w:hAnsi="Arial" w:eastAsia="Times New Roman" w:cs="Arial"/>
          <w:color w:val="000000" w:themeColor="text1" w:themeTint="FF" w:themeShade="FF"/>
          <w:sz w:val="22"/>
          <w:szCs w:val="22"/>
          <w:lang w:val="en-GB" w:eastAsia="en-GB"/>
        </w:rPr>
        <w:t>e.g.</w:t>
      </w:r>
      <w:bookmarkEnd w:id="1853350060"/>
      <w:r w:rsidRPr="128C2073" w:rsidR="128C2073">
        <w:rPr>
          <w:rFonts w:ascii="Arial" w:hAnsi="Arial" w:eastAsia="Times New Roman" w:cs="Arial"/>
          <w:color w:val="000000" w:themeColor="text1" w:themeTint="FF" w:themeShade="FF"/>
          <w:sz w:val="22"/>
          <w:szCs w:val="22"/>
          <w:lang w:val="en-GB" w:eastAsia="en-GB"/>
        </w:rPr>
        <w:t xml:space="preserve"> Functionalism, Marxism, Neo-Marxist, Feminism, Symbolic Interactionism)</w:t>
      </w:r>
      <w:r w:rsidRPr="128C2073" w:rsidR="128C2073">
        <w:rPr>
          <w:rFonts w:ascii="Arial" w:hAnsi="Arial" w:eastAsia="Times New Roman" w:cs="Arial"/>
          <w:color w:val="000000" w:themeColor="text1" w:themeTint="FF" w:themeShade="FF"/>
          <w:sz w:val="22"/>
          <w:szCs w:val="22"/>
          <w:lang w:val="en-GB" w:eastAsia="en-GB"/>
        </w:rPr>
        <w:t xml:space="preserve">.  </w:t>
      </w:r>
    </w:p>
    <w:p w:rsidR="128C2073" w:rsidP="128C2073" w:rsidRDefault="128C2073" w14:paraId="48BEDBA1" w14:textId="5F47FB4A">
      <w:pPr>
        <w:pStyle w:val="ListParagraph"/>
        <w:widowControl w:val="0"/>
        <w:numPr>
          <w:ilvl w:val="0"/>
          <w:numId w:val="1"/>
        </w:numPr>
        <w:spacing w:line="276" w:lineRule="auto"/>
        <w:rPr>
          <w:rFonts w:ascii="Arial" w:hAnsi="Arial"/>
          <w:b w:val="0"/>
          <w:bCs w:val="0"/>
        </w:rPr>
      </w:pPr>
      <w:r w:rsidRPr="128C2073" w:rsidR="128C2073">
        <w:rPr>
          <w:rFonts w:ascii="Arial" w:hAnsi="Arial" w:eastAsia="Times New Roman" w:cs="Arial"/>
          <w:b w:val="0"/>
          <w:bCs w:val="0"/>
          <w:color w:val="000000" w:themeColor="text1" w:themeTint="FF" w:themeShade="FF"/>
          <w:sz w:val="22"/>
          <w:szCs w:val="22"/>
          <w:lang w:eastAsia="en-GB"/>
        </w:rPr>
        <w:t>Highlight the similarities and differences between the perspectives discussed.</w:t>
      </w:r>
    </w:p>
    <w:tbl>
      <w:tblPr>
        <w:tblW w:w="15396" w:type="dxa"/>
        <w:jc w:val="left"/>
        <w:tblInd w:w="-5" w:type="dxa"/>
        <w:tblLayout w:type="fixed"/>
        <w:tblCellMar>
          <w:top w:w="55" w:type="dxa"/>
          <w:left w:w="55" w:type="dxa"/>
          <w:bottom w:w="55" w:type="dxa"/>
          <w:right w:w="55" w:type="dxa"/>
        </w:tblCellMar>
      </w:tblPr>
      <w:tblGrid>
        <w:gridCol w:w="2566"/>
        <w:gridCol w:w="2566"/>
        <w:gridCol w:w="2566"/>
        <w:gridCol w:w="2566"/>
        <w:gridCol w:w="2566"/>
        <w:gridCol w:w="2566"/>
      </w:tblGrid>
      <w:tr xmlns:wp14="http://schemas.microsoft.com/office/word/2010/wordml" w:rsidTr="128C2073" w14:paraId="0B897617" wp14:textId="77777777">
        <w:trPr>
          <w:trHeight w:val="1035"/>
        </w:trPr>
        <w:tc>
          <w:tcPr>
            <w:tcW w:w="2566" w:type="dxa"/>
            <w:tcBorders>
              <w:top w:val="single" w:color="000000" w:themeColor="text1" w:sz="4" w:space="0"/>
              <w:left w:val="single" w:color="000000" w:themeColor="text1" w:sz="4" w:space="0"/>
              <w:bottom w:val="single" w:color="000000" w:themeColor="text1" w:sz="4" w:space="0"/>
            </w:tcBorders>
            <w:tcMar/>
          </w:tcPr>
          <w:p w14:paraId="0455E04D" wp14:textId="77777777">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Theory</w:t>
            </w:r>
          </w:p>
        </w:tc>
        <w:tc>
          <w:tcPr>
            <w:tcW w:w="2566" w:type="dxa"/>
            <w:tcBorders>
              <w:top w:val="single" w:color="000000" w:themeColor="text1" w:sz="4" w:space="0"/>
              <w:left w:val="single" w:color="000000" w:themeColor="text1" w:sz="4" w:space="0"/>
              <w:bottom w:val="single" w:color="000000" w:themeColor="text1" w:sz="4" w:space="0"/>
            </w:tcBorders>
            <w:tcMar/>
          </w:tcPr>
          <w:p w14:paraId="49A3A267" wp14:textId="77777777">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Macro or Micro</w:t>
            </w:r>
          </w:p>
        </w:tc>
        <w:tc>
          <w:tcPr>
            <w:tcW w:w="2566" w:type="dxa"/>
            <w:tcBorders>
              <w:top w:val="single" w:color="000000" w:themeColor="text1" w:sz="4" w:space="0"/>
              <w:left w:val="single" w:color="000000" w:themeColor="text1" w:sz="4" w:space="0"/>
              <w:bottom w:val="single" w:color="000000" w:themeColor="text1" w:sz="4" w:space="0"/>
            </w:tcBorders>
            <w:tcMar/>
          </w:tcPr>
          <w:p w14:paraId="407D040C" wp14:textId="77777777">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Key Points</w:t>
            </w:r>
          </w:p>
        </w:tc>
        <w:tc>
          <w:tcPr>
            <w:tcW w:w="2566" w:type="dxa"/>
            <w:tcBorders>
              <w:top w:val="single" w:color="000000" w:themeColor="text1" w:sz="4" w:space="0"/>
              <w:left w:val="single" w:color="000000" w:themeColor="text1" w:sz="4" w:space="0"/>
              <w:bottom w:val="single" w:color="000000" w:themeColor="text1" w:sz="4" w:space="0"/>
            </w:tcBorders>
            <w:tcMar/>
          </w:tcPr>
          <w:p w14:paraId="3494FFC3" wp14:textId="77777777">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Similarities</w:t>
            </w:r>
          </w:p>
        </w:tc>
        <w:tc>
          <w:tcPr>
            <w:tcW w:w="2566" w:type="dxa"/>
            <w:tcBorders>
              <w:top w:val="single" w:color="000000" w:themeColor="text1" w:sz="4" w:space="0"/>
              <w:left w:val="single" w:color="000000" w:themeColor="text1" w:sz="4" w:space="0"/>
              <w:bottom w:val="single" w:color="000000" w:themeColor="text1" w:sz="4" w:space="0"/>
            </w:tcBorders>
            <w:tcMar/>
          </w:tcPr>
          <w:p w14:paraId="1A02713A" wp14:textId="77777777">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Differences</w:t>
            </w:r>
          </w:p>
        </w:tc>
        <w:tc>
          <w:tcPr>
            <w:tcW w:w="25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top"/>
          </w:tcPr>
          <w:p w:rsidP="128C2073" w14:paraId="00530AC8" wp14:textId="77777777">
            <w:pPr>
              <w:pStyle w:val="TableContents"/>
              <w:widowControl w:val="0"/>
              <w:jc w:val="center"/>
              <w:rPr>
                <w:rFonts w:ascii="Arial" w:hAnsi="Arial"/>
                <w:b w:val="0"/>
                <w:bCs w:val="0"/>
                <w:i w:val="0"/>
                <w:i w:val="false"/>
                <w:iCs w:val="0"/>
                <w:strike w:val="0"/>
                <w:dstrike w:val="0"/>
                <w:outline w:val="false"/>
                <w:shadow w:val="false"/>
                <w:color w:val="000000"/>
                <w:sz w:val="24"/>
                <w:szCs w:val="24"/>
                <w:u w:val="none"/>
              </w:rPr>
            </w:pPr>
            <w:r w:rsidRPr="128C2073" w:rsidR="128C2073">
              <w:rPr>
                <w:rFonts w:ascii="Arial" w:hAnsi="Arial"/>
                <w:b w:val="0"/>
                <w:bCs w:val="0"/>
                <w:i w:val="0"/>
                <w:iCs w:val="0"/>
                <w:strike w:val="0"/>
                <w:dstrike w:val="0"/>
                <w:outline w:val="false"/>
                <w:shadow w:val="false"/>
                <w:color w:val="000000"/>
                <w:sz w:val="24"/>
                <w:szCs w:val="24"/>
                <w:u w:val="none"/>
              </w:rPr>
              <w:t xml:space="preserve">How Can It Be Used </w:t>
            </w:r>
            <w:r w:rsidRPr="128C2073" w:rsidR="128C2073">
              <w:rPr>
                <w:rFonts w:ascii="Arial" w:hAnsi="Arial"/>
                <w:b w:val="0"/>
                <w:bCs w:val="0"/>
                <w:i w:val="0"/>
                <w:iCs w:val="0"/>
                <w:strike w:val="0"/>
                <w:dstrike w:val="0"/>
                <w:outline w:val="false"/>
                <w:shadow w:val="false"/>
                <w:color w:val="000000"/>
                <w:sz w:val="24"/>
                <w:szCs w:val="24"/>
                <w:u w:val="none"/>
              </w:rPr>
              <w:t>To</w:t>
            </w:r>
            <w:r w:rsidRPr="128C2073" w:rsidR="128C2073">
              <w:rPr>
                <w:rFonts w:ascii="Arial" w:hAnsi="Arial"/>
                <w:b w:val="0"/>
                <w:bCs w:val="0"/>
                <w:i w:val="0"/>
                <w:iCs w:val="0"/>
                <w:strike w:val="0"/>
                <w:dstrike w:val="0"/>
                <w:outline w:val="false"/>
                <w:shadow w:val="false"/>
                <w:color w:val="000000"/>
                <w:sz w:val="24"/>
                <w:szCs w:val="24"/>
                <w:u w:val="none"/>
              </w:rPr>
              <w:t xml:space="preserve"> Understand </w:t>
            </w:r>
            <w:bookmarkStart w:name="_Int_m2WLKeeV" w:id="896426978"/>
            <w:r w:rsidRPr="128C2073" w:rsidR="128C2073">
              <w:rPr>
                <w:rFonts w:ascii="Arial" w:hAnsi="Arial"/>
                <w:b w:val="0"/>
                <w:bCs w:val="0"/>
                <w:i w:val="0"/>
                <w:iCs w:val="0"/>
                <w:strike w:val="0"/>
                <w:dstrike w:val="0"/>
                <w:outline w:val="false"/>
                <w:shadow w:val="false"/>
                <w:color w:val="000000"/>
                <w:sz w:val="24"/>
                <w:szCs w:val="24"/>
                <w:u w:val="none"/>
              </w:rPr>
              <w:t>A</w:t>
            </w:r>
            <w:bookmarkEnd w:id="896426978"/>
            <w:r w:rsidRPr="128C2073" w:rsidR="128C2073">
              <w:rPr>
                <w:rFonts w:ascii="Arial" w:hAnsi="Arial"/>
                <w:b w:val="0"/>
                <w:bCs w:val="0"/>
                <w:i w:val="0"/>
                <w:iCs w:val="0"/>
                <w:strike w:val="0"/>
                <w:dstrike w:val="0"/>
                <w:outline w:val="false"/>
                <w:shadow w:val="false"/>
                <w:color w:val="000000"/>
                <w:sz w:val="24"/>
                <w:szCs w:val="24"/>
                <w:u w:val="none"/>
              </w:rPr>
              <w:t xml:space="preserve"> Real Event?</w:t>
            </w:r>
          </w:p>
        </w:tc>
      </w:tr>
      <w:tr xmlns:wp14="http://schemas.microsoft.com/office/word/2010/wordml" w:rsidTr="128C2073" w14:paraId="6E8124D8" wp14:textId="77777777">
        <w:trPr>
          <w:trHeight w:val="11160"/>
        </w:trPr>
        <w:tc>
          <w:tcPr>
            <w:tcW w:w="2566" w:type="dxa"/>
            <w:tcBorders>
              <w:left w:val="single" w:color="000000" w:themeColor="text1" w:sz="4" w:space="0"/>
              <w:bottom w:val="single" w:color="000000" w:themeColor="text1" w:sz="4" w:space="0"/>
            </w:tcBorders>
            <w:tcMar/>
          </w:tcPr>
          <w:p w14:paraId="5D5D3C95"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Marxism</w:t>
            </w:r>
          </w:p>
        </w:tc>
        <w:tc>
          <w:tcPr>
            <w:tcW w:w="2566" w:type="dxa"/>
            <w:tcBorders>
              <w:left w:val="single" w:color="000000" w:themeColor="text1" w:sz="4" w:space="0"/>
              <w:bottom w:val="single" w:color="000000" w:themeColor="text1" w:sz="4" w:space="0"/>
            </w:tcBorders>
            <w:tcMar/>
          </w:tcPr>
          <w:p w14:paraId="694E33BC"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Macro</w:t>
            </w:r>
          </w:p>
        </w:tc>
        <w:tc>
          <w:tcPr>
            <w:tcW w:w="2566" w:type="dxa"/>
            <w:tcBorders>
              <w:left w:val="single" w:color="000000" w:themeColor="text1" w:sz="4" w:space="0"/>
              <w:bottom w:val="single" w:color="000000" w:themeColor="text1" w:sz="4" w:space="0"/>
            </w:tcBorders>
            <w:tcMar/>
          </w:tcPr>
          <w:p w:rsidP="128C2073" w14:paraId="2150375B" wp14:textId="684F41D9">
            <w:pPr>
              <w:pStyle w:val="TableContents"/>
              <w:widowControl w:val="0"/>
              <w:jc w:val="left"/>
              <w:rPr>
                <w:rFonts w:ascii="Arial" w:hAnsi="Arial"/>
                <w:b w:val="0"/>
                <w:bCs w:val="0"/>
                <w:i w:val="0"/>
                <w:i w:val="false"/>
                <w:iCs w:val="0"/>
                <w:strike w:val="0"/>
                <w:dstrike w:val="0"/>
                <w:outline w:val="false"/>
                <w:shadow w:val="false"/>
                <w:color w:val="000000"/>
                <w:sz w:val="24"/>
                <w:szCs w:val="24"/>
                <w:u w:val="none"/>
              </w:rPr>
            </w:pPr>
            <w:r w:rsidRPr="128C2073" w:rsidR="128C2073">
              <w:rPr>
                <w:rFonts w:ascii="Arial" w:hAnsi="Arial"/>
                <w:b w:val="0"/>
                <w:bCs w:val="0"/>
                <w:i w:val="0"/>
                <w:iCs w:val="0"/>
                <w:strike w:val="0"/>
                <w:dstrike w:val="0"/>
                <w:outline w:val="false"/>
                <w:shadow w:val="false"/>
                <w:color w:val="000000"/>
                <w:sz w:val="24"/>
                <w:szCs w:val="24"/>
                <w:u w:val="none"/>
              </w:rPr>
              <w:t>This theory focuses on economic inequality and dichotomises the structure of capitalist society into the relationship between two groups; the bourgeoisie and the proletariat (Marx and Engels, 2018). The Bourgeoisie being the owners of the “means of production” (</w:t>
            </w:r>
            <w:r w:rsidRPr="128C2073" w:rsidR="128C2073">
              <w:rPr>
                <w:rFonts w:ascii="Arial" w:hAnsi="Arial"/>
                <w:b w:val="0"/>
                <w:bCs w:val="0"/>
                <w:i w:val="0"/>
                <w:iCs w:val="0"/>
                <w:strike w:val="0"/>
                <w:dstrike w:val="0"/>
                <w:outline w:val="false"/>
                <w:shadow w:val="false"/>
                <w:color w:val="000000"/>
                <w:sz w:val="24"/>
                <w:szCs w:val="24"/>
                <w:u w:val="none"/>
              </w:rPr>
              <w:t>e.g.,</w:t>
            </w:r>
            <w:r w:rsidRPr="128C2073" w:rsidR="128C2073">
              <w:rPr>
                <w:rFonts w:ascii="Arial" w:hAnsi="Arial"/>
                <w:b w:val="0"/>
                <w:bCs w:val="0"/>
                <w:i w:val="0"/>
                <w:iCs w:val="0"/>
                <w:strike w:val="0"/>
                <w:dstrike w:val="0"/>
                <w:outline w:val="false"/>
                <w:shadow w:val="false"/>
                <w:color w:val="000000"/>
                <w:sz w:val="24"/>
                <w:szCs w:val="24"/>
                <w:u w:val="none"/>
              </w:rPr>
              <w:t xml:space="preserve"> factories), while the Proletariat are the ones who must sell their labour to the bourgeoisie </w:t>
            </w:r>
            <w:r w:rsidRPr="128C2073" w:rsidR="128C2073">
              <w:rPr>
                <w:rFonts w:ascii="Arial" w:hAnsi="Arial"/>
                <w:b w:val="0"/>
                <w:bCs w:val="0"/>
                <w:i w:val="0"/>
                <w:iCs w:val="0"/>
                <w:strike w:val="0"/>
                <w:dstrike w:val="0"/>
                <w:outline w:val="false"/>
                <w:shadow w:val="false"/>
                <w:color w:val="000000"/>
                <w:sz w:val="24"/>
                <w:szCs w:val="24"/>
                <w:u w:val="none"/>
              </w:rPr>
              <w:t>in order to</w:t>
            </w:r>
            <w:r w:rsidRPr="128C2073" w:rsidR="128C2073">
              <w:rPr>
                <w:rFonts w:ascii="Arial" w:hAnsi="Arial"/>
                <w:b w:val="0"/>
                <w:bCs w:val="0"/>
                <w:i w:val="0"/>
                <w:iCs w:val="0"/>
                <w:strike w:val="0"/>
                <w:dstrike w:val="0"/>
                <w:outline w:val="false"/>
                <w:shadow w:val="false"/>
                <w:color w:val="000000"/>
                <w:sz w:val="24"/>
                <w:szCs w:val="24"/>
                <w:u w:val="none"/>
              </w:rPr>
              <w:t xml:space="preserve"> survive (e.g., factory workers).</w:t>
            </w:r>
          </w:p>
          <w:p w14:paraId="672A6659"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rsidP="128C2073" w14:paraId="48EF7012" wp14:textId="6081E948">
            <w:pPr>
              <w:pStyle w:val="TableContents"/>
              <w:widowControl w:val="0"/>
              <w:jc w:val="left"/>
              <w:rPr>
                <w:rFonts w:ascii="Arial" w:hAnsi="Arial"/>
                <w:b w:val="0"/>
                <w:bCs w:val="0"/>
                <w:i w:val="0"/>
                <w:i w:val="false"/>
                <w:iCs w:val="0"/>
                <w:strike w:val="0"/>
                <w:dstrike w:val="0"/>
                <w:outline w:val="false"/>
                <w:shadow w:val="false"/>
                <w:color w:val="000000"/>
                <w:sz w:val="24"/>
                <w:szCs w:val="24"/>
                <w:u w:val="none"/>
              </w:rPr>
            </w:pPr>
            <w:r w:rsidRPr="128C2073" w:rsidR="128C2073">
              <w:rPr>
                <w:rFonts w:ascii="Arial" w:hAnsi="Arial"/>
                <w:b w:val="0"/>
                <w:bCs w:val="0"/>
                <w:i w:val="0"/>
                <w:iCs w:val="0"/>
                <w:strike w:val="0"/>
                <w:dstrike w:val="0"/>
                <w:outline w:val="false"/>
                <w:shadow w:val="false"/>
                <w:color w:val="000000"/>
                <w:sz w:val="24"/>
                <w:szCs w:val="24"/>
                <w:u w:val="none"/>
              </w:rPr>
              <w:t xml:space="preserve">The bourgeoisie will seek to both stabilise and maximise their wealth and profit through their exploitation of the proletariat and manipulation of the superstructure – that is, everything in society not directly </w:t>
            </w:r>
            <w:r w:rsidRPr="128C2073" w:rsidR="128C2073">
              <w:rPr>
                <w:rFonts w:ascii="Arial" w:hAnsi="Arial"/>
                <w:b w:val="0"/>
                <w:bCs w:val="0"/>
                <w:i w:val="0"/>
                <w:iCs w:val="0"/>
                <w:strike w:val="0"/>
                <w:dstrike w:val="0"/>
                <w:outline w:val="false"/>
                <w:shadow w:val="false"/>
                <w:color w:val="000000"/>
                <w:sz w:val="24"/>
                <w:szCs w:val="24"/>
                <w:u w:val="none"/>
              </w:rPr>
              <w:t>associated</w:t>
            </w:r>
            <w:r w:rsidRPr="128C2073" w:rsidR="128C2073">
              <w:rPr>
                <w:rFonts w:ascii="Arial" w:hAnsi="Arial"/>
                <w:b w:val="0"/>
                <w:bCs w:val="0"/>
                <w:i w:val="0"/>
                <w:iCs w:val="0"/>
                <w:strike w:val="0"/>
                <w:dstrike w:val="0"/>
                <w:outline w:val="false"/>
                <w:shadow w:val="false"/>
                <w:color w:val="000000"/>
                <w:sz w:val="24"/>
                <w:szCs w:val="24"/>
                <w:u w:val="none"/>
              </w:rPr>
              <w:t xml:space="preserve"> with production (Franz Jakubowski, 1990, p. 37).</w:t>
            </w:r>
          </w:p>
        </w:tc>
        <w:tc>
          <w:tcPr>
            <w:tcW w:w="2566" w:type="dxa"/>
            <w:tcBorders>
              <w:left w:val="single" w:color="000000" w:themeColor="text1" w:sz="4" w:space="0"/>
              <w:bottom w:val="single" w:color="000000" w:themeColor="text1" w:sz="4" w:space="0"/>
            </w:tcBorders>
            <w:tcMar/>
          </w:tcPr>
          <w:p w14:paraId="7ECA7A45"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Both theories acknowledge the possibility that social change can occur. Marxism emphasizes the potential for revolutionary change brought about by class consciousness and symbolic interactionism focuses on how meanings and symbols can change over time.</w:t>
            </w:r>
          </w:p>
        </w:tc>
        <w:tc>
          <w:tcPr>
            <w:tcW w:w="2566" w:type="dxa"/>
            <w:tcBorders>
              <w:left w:val="single" w:color="000000" w:themeColor="text1" w:sz="4" w:space="0"/>
              <w:bottom w:val="single" w:color="000000" w:themeColor="text1" w:sz="4" w:space="0"/>
            </w:tcBorders>
            <w:tcMar/>
          </w:tcPr>
          <w:p w:rsidP="128C2073" w14:paraId="78FCCEEB" wp14:textId="730CEF9F">
            <w:pPr>
              <w:pStyle w:val="TableContents"/>
              <w:widowControl w:val="0"/>
              <w:jc w:val="left"/>
              <w:rPr>
                <w:rFonts w:ascii="Arial" w:hAnsi="Arial"/>
                <w:b w:val="0"/>
                <w:bCs w:val="0"/>
                <w:i w:val="0"/>
                <w:i w:val="false"/>
                <w:iCs w:val="0"/>
                <w:strike w:val="0"/>
                <w:dstrike w:val="0"/>
                <w:outline w:val="false"/>
                <w:shadow w:val="false"/>
                <w:color w:val="000000"/>
                <w:sz w:val="24"/>
                <w:szCs w:val="24"/>
                <w:u w:val="none"/>
              </w:rPr>
            </w:pPr>
            <w:r w:rsidRPr="128C2073" w:rsidR="128C2073">
              <w:rPr>
                <w:rFonts w:ascii="Arial" w:hAnsi="Arial"/>
                <w:b w:val="0"/>
                <w:bCs w:val="0"/>
                <w:i w:val="0"/>
                <w:iCs w:val="0"/>
                <w:strike w:val="0"/>
                <w:dstrike w:val="0"/>
                <w:outline w:val="false"/>
                <w:shadow w:val="false"/>
                <w:color w:val="000000"/>
                <w:sz w:val="24"/>
                <w:szCs w:val="24"/>
                <w:u w:val="none"/>
              </w:rPr>
              <w:t xml:space="preserve">Because Marxism focuses on economic inequality it </w:t>
            </w:r>
            <w:r w:rsidRPr="128C2073" w:rsidR="128C2073">
              <w:rPr>
                <w:rFonts w:ascii="Arial" w:hAnsi="Arial"/>
                <w:b w:val="0"/>
                <w:bCs w:val="0"/>
                <w:i w:val="0"/>
                <w:iCs w:val="0"/>
                <w:strike w:val="0"/>
                <w:dstrike w:val="0"/>
                <w:outline w:val="false"/>
                <w:shadow w:val="false"/>
                <w:color w:val="000000"/>
                <w:sz w:val="24"/>
                <w:szCs w:val="24"/>
                <w:u w:val="none"/>
              </w:rPr>
              <w:t>utilises</w:t>
            </w:r>
            <w:r w:rsidRPr="128C2073" w:rsidR="128C2073">
              <w:rPr>
                <w:rFonts w:ascii="Arial" w:hAnsi="Arial"/>
                <w:b w:val="0"/>
                <w:bCs w:val="0"/>
                <w:i w:val="0"/>
                <w:iCs w:val="0"/>
                <w:strike w:val="0"/>
                <w:dstrike w:val="0"/>
                <w:outline w:val="false"/>
                <w:shadow w:val="false"/>
                <w:color w:val="000000"/>
                <w:sz w:val="24"/>
                <w:szCs w:val="24"/>
                <w:u w:val="none"/>
              </w:rPr>
              <w:t xml:space="preserve"> more quantitative methods than symbolic interactionism and so can be argued to have greater scientific rigor.</w:t>
            </w:r>
          </w:p>
        </w:tc>
        <w:tc>
          <w:tcPr>
            <w:tcW w:w="2566" w:type="dxa"/>
            <w:tcBorders>
              <w:left w:val="single" w:color="000000" w:themeColor="text1" w:sz="4" w:space="0"/>
              <w:bottom w:val="single" w:color="000000" w:themeColor="text1" w:sz="4" w:space="0"/>
              <w:right w:val="single" w:color="000000" w:themeColor="text1" w:sz="4" w:space="0"/>
            </w:tcBorders>
            <w:tcMar/>
          </w:tcPr>
          <w:p w14:paraId="2AC3E796"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 concept of False Class Consciousness can be used to explain interference by media CEOs over how the news is portrayed. Curran and Seaton (2010) found numerous evidence of media owners directly manipulating their content in order to favour certain political parties.</w:t>
            </w:r>
          </w:p>
        </w:tc>
      </w:tr>
      <w:tr xmlns:wp14="http://schemas.microsoft.com/office/word/2010/wordml" w:rsidTr="128C2073" w14:paraId="3F2D6427" wp14:textId="77777777">
        <w:trPr>
          <w:trHeight w:val="11160"/>
        </w:trPr>
        <w:tc>
          <w:tcPr>
            <w:tcW w:w="2566" w:type="dxa"/>
            <w:tcBorders>
              <w:left w:val="single" w:color="000000" w:themeColor="text1" w:sz="4" w:space="0"/>
              <w:bottom w:val="single" w:color="000000" w:themeColor="text1" w:sz="4" w:space="0"/>
            </w:tcBorders>
            <w:tcMar/>
          </w:tcPr>
          <w:p w14:paraId="793F927B"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Symbolic Interactionism</w:t>
            </w:r>
          </w:p>
        </w:tc>
        <w:tc>
          <w:tcPr>
            <w:tcW w:w="2566" w:type="dxa"/>
            <w:tcBorders>
              <w:left w:val="single" w:color="000000" w:themeColor="text1" w:sz="4" w:space="0"/>
              <w:bottom w:val="single" w:color="000000" w:themeColor="text1" w:sz="4" w:space="0"/>
            </w:tcBorders>
            <w:tcMar/>
          </w:tcPr>
          <w:p w14:paraId="44D97552"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Micro</w:t>
            </w:r>
          </w:p>
        </w:tc>
        <w:tc>
          <w:tcPr>
            <w:tcW w:w="2566" w:type="dxa"/>
            <w:tcBorders>
              <w:left w:val="single" w:color="000000" w:themeColor="text1" w:sz="4" w:space="0"/>
              <w:bottom w:val="single" w:color="000000" w:themeColor="text1" w:sz="4" w:space="0"/>
            </w:tcBorders>
            <w:tcMar/>
          </w:tcPr>
          <w:p w14:paraId="3018AAF2"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Symbolic Interactionism focuses on the meaning that people ascribe to symbols created through their relationships and communication with other people (Blumer, 1986).</w:t>
            </w:r>
          </w:p>
          <w:p w14:paraId="0A37501D"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14:paraId="043226BE"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These meanings are socially constructed, not inherent to the symbol, which means that, through continued social interaction, the meaning of a symbol can change. People then act based on the meaning that they give to these symbols. </w:t>
            </w:r>
          </w:p>
        </w:tc>
        <w:tc>
          <w:tcPr>
            <w:tcW w:w="2566" w:type="dxa"/>
            <w:tcBorders>
              <w:left w:val="single" w:color="000000" w:themeColor="text1" w:sz="4" w:space="0"/>
              <w:bottom w:val="single" w:color="000000" w:themeColor="text1" w:sz="4" w:space="0"/>
            </w:tcBorders>
            <w:tcMar/>
          </w:tcPr>
          <w:p w14:paraId="5DAB6C7B"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2566" w:type="dxa"/>
            <w:tcBorders>
              <w:left w:val="single" w:color="000000" w:themeColor="text1" w:sz="4" w:space="0"/>
              <w:bottom w:val="single" w:color="000000" w:themeColor="text1" w:sz="4" w:space="0"/>
            </w:tcBorders>
            <w:tcMar/>
          </w:tcPr>
          <w:p w14:paraId="02EB378F" wp14:textId="77777777">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2566" w:type="dxa"/>
            <w:tcBorders>
              <w:left w:val="single" w:color="000000" w:themeColor="text1" w:sz="4" w:space="0"/>
              <w:bottom w:val="single" w:color="000000" w:themeColor="text1" w:sz="4" w:space="0"/>
              <w:right w:val="single" w:color="000000" w:themeColor="text1" w:sz="4" w:space="0"/>
            </w:tcBorders>
            <w:tcMar/>
          </w:tcPr>
          <w:p w:rsidP="128C2073" w14:paraId="65660F3D" wp14:textId="1CAB9258">
            <w:pPr>
              <w:pStyle w:val="TableContents"/>
              <w:widowControl w:val="0"/>
              <w:jc w:val="left"/>
              <w:rPr>
                <w:rFonts w:ascii="Arial" w:hAnsi="Arial"/>
                <w:b w:val="0"/>
                <w:bCs w:val="0"/>
                <w:i w:val="0"/>
                <w:i w:val="false"/>
                <w:iCs w:val="0"/>
                <w:strike w:val="0"/>
                <w:dstrike w:val="0"/>
                <w:outline w:val="false"/>
                <w:shadow w:val="false"/>
                <w:color w:val="000000"/>
                <w:sz w:val="24"/>
                <w:szCs w:val="24"/>
                <w:u w:val="none"/>
              </w:rPr>
            </w:pPr>
            <w:r w:rsidRPr="128C2073" w:rsidR="128C2073">
              <w:rPr>
                <w:rFonts w:ascii="Arial" w:hAnsi="Arial"/>
                <w:b w:val="0"/>
                <w:bCs w:val="0"/>
                <w:i w:val="0"/>
                <w:iCs w:val="0"/>
                <w:strike w:val="0"/>
                <w:dstrike w:val="0"/>
                <w:outline w:val="false"/>
                <w:shadow w:val="false"/>
                <w:color w:val="000000"/>
                <w:sz w:val="24"/>
                <w:szCs w:val="24"/>
                <w:u w:val="none"/>
              </w:rPr>
              <w:t xml:space="preserve">Symbolic </w:t>
            </w:r>
            <w:r w:rsidRPr="128C2073" w:rsidR="128C2073">
              <w:rPr>
                <w:rFonts w:ascii="Arial" w:hAnsi="Arial"/>
                <w:b w:val="0"/>
                <w:bCs w:val="0"/>
                <w:i w:val="0"/>
                <w:iCs w:val="0"/>
                <w:strike w:val="0"/>
                <w:dstrike w:val="0"/>
                <w:outline w:val="false"/>
                <w:shadow w:val="false"/>
                <w:color w:val="000000"/>
                <w:sz w:val="24"/>
                <w:szCs w:val="24"/>
                <w:u w:val="none"/>
              </w:rPr>
              <w:t>Interactionism</w:t>
            </w:r>
            <w:r w:rsidRPr="128C2073" w:rsidR="128C2073">
              <w:rPr>
                <w:rFonts w:ascii="Arial" w:hAnsi="Arial"/>
                <w:b w:val="0"/>
                <w:bCs w:val="0"/>
                <w:i w:val="0"/>
                <w:iCs w:val="0"/>
                <w:strike w:val="0"/>
                <w:dstrike w:val="0"/>
                <w:outline w:val="false"/>
                <w:shadow w:val="false"/>
                <w:color w:val="000000"/>
                <w:sz w:val="24"/>
                <w:szCs w:val="24"/>
                <w:u w:val="none"/>
              </w:rPr>
              <w:t xml:space="preserve"> can be used to explain contemporary views on gender. West and Zimmerman (1987) argue that gender is </w:t>
            </w:r>
            <w:r w:rsidRPr="128C2073" w:rsidR="128C2073">
              <w:rPr>
                <w:rFonts w:ascii="Arial" w:hAnsi="Arial"/>
                <w:b w:val="0"/>
                <w:bCs w:val="0"/>
                <w:i w:val="0"/>
                <w:iCs w:val="0"/>
                <w:strike w:val="0"/>
                <w:dstrike w:val="0"/>
                <w:outline w:val="false"/>
                <w:shadow w:val="false"/>
                <w:color w:val="000000"/>
                <w:sz w:val="24"/>
                <w:szCs w:val="24"/>
                <w:u w:val="none"/>
              </w:rPr>
              <w:t>determined</w:t>
            </w:r>
            <w:r w:rsidRPr="128C2073" w:rsidR="128C2073">
              <w:rPr>
                <w:rFonts w:ascii="Arial" w:hAnsi="Arial"/>
                <w:b w:val="0"/>
                <w:bCs w:val="0"/>
                <w:i w:val="0"/>
                <w:iCs w:val="0"/>
                <w:strike w:val="0"/>
                <w:dstrike w:val="0"/>
                <w:outline w:val="false"/>
                <w:shadow w:val="false"/>
                <w:color w:val="000000"/>
                <w:sz w:val="24"/>
                <w:szCs w:val="24"/>
                <w:u w:val="none"/>
              </w:rPr>
              <w:t xml:space="preserve"> by </w:t>
            </w:r>
            <w:r w:rsidRPr="128C2073" w:rsidR="128C2073">
              <w:rPr>
                <w:rFonts w:ascii="Arial" w:hAnsi="Arial"/>
                <w:b w:val="0"/>
                <w:bCs w:val="0"/>
                <w:i w:val="0"/>
                <w:iCs w:val="0"/>
                <w:strike w:val="0"/>
                <w:dstrike w:val="0"/>
                <w:outline w:val="false"/>
                <w:shadow w:val="false"/>
                <w:color w:val="000000"/>
                <w:sz w:val="24"/>
                <w:szCs w:val="24"/>
                <w:u w:val="none"/>
              </w:rPr>
              <w:t>whether or not</w:t>
            </w:r>
            <w:r w:rsidRPr="128C2073" w:rsidR="128C2073">
              <w:rPr>
                <w:rFonts w:ascii="Arial" w:hAnsi="Arial"/>
                <w:b w:val="0"/>
                <w:bCs w:val="0"/>
                <w:i w:val="0"/>
                <w:iCs w:val="0"/>
                <w:strike w:val="0"/>
                <w:dstrike w:val="0"/>
                <w:outline w:val="false"/>
                <w:shadow w:val="false"/>
                <w:color w:val="000000"/>
                <w:sz w:val="24"/>
                <w:szCs w:val="24"/>
                <w:u w:val="none"/>
              </w:rPr>
              <w:t xml:space="preserve"> a person socially conforms to acts associated by their gender. It is socially constructed, rather than an inherent quality.</w:t>
            </w:r>
          </w:p>
        </w:tc>
      </w:tr>
    </w:tbl>
    <w:p xmlns:wp14="http://schemas.microsoft.com/office/word/2010/wordml" w14:paraId="6A05A809" wp14:textId="77777777">
      <w:pPr>
        <w:pStyle w:val="ListParagraph"/>
        <w:widowControl w:val="false"/>
        <w:numPr>
          <w:ilvl w:val="0"/>
          <w:numId w:val="0"/>
        </w:numPr>
        <w:spacing w:line="276" w:lineRule="auto"/>
        <w:ind w:left="0" w:hanging="0"/>
        <w:rPr>
          <w:rFonts w:ascii="Arial" w:hAnsi="Arial"/>
        </w:rPr>
      </w:pPr>
      <w:r>
        <w:rPr>
          <w:rFonts w:ascii="Arial" w:hAnsi="Arial"/>
        </w:rPr>
      </w:r>
    </w:p>
    <w:p xmlns:wp14="http://schemas.microsoft.com/office/word/2010/wordml" w14:paraId="0144D89A" wp14:textId="77777777">
      <w:pPr>
        <w:pStyle w:val="ListParagraph"/>
        <w:widowControl w:val="false"/>
        <w:numPr>
          <w:ilvl w:val="0"/>
          <w:numId w:val="0"/>
        </w:numPr>
        <w:spacing w:line="276" w:lineRule="auto"/>
        <w:ind w:left="0" w:hanging="0"/>
        <w:rPr>
          <w:rFonts w:ascii="Arial" w:hAnsi="Arial"/>
          <w:sz w:val="36"/>
          <w:szCs w:val="36"/>
        </w:rPr>
      </w:pPr>
      <w:r>
        <w:rPr>
          <w:rFonts w:ascii="Arial" w:hAnsi="Arial"/>
          <w:sz w:val="36"/>
          <w:szCs w:val="36"/>
        </w:rPr>
        <w:t>Word Count: 308</w:t>
      </w:r>
    </w:p>
    <w:p xmlns:wp14="http://schemas.microsoft.com/office/word/2010/wordml" w14:paraId="5A39BBE3" wp14:textId="77777777">
      <w:pPr>
        <w:pStyle w:val="ListParagraph"/>
        <w:widowControl w:val="false"/>
        <w:numPr>
          <w:ilvl w:val="0"/>
          <w:numId w:val="0"/>
        </w:numPr>
        <w:spacing w:line="276" w:lineRule="auto"/>
        <w:ind w:left="0" w:hanging="0"/>
        <w:rPr>
          <w:rFonts w:ascii="Arial" w:hAnsi="Arial"/>
          <w:sz w:val="36"/>
          <w:szCs w:val="36"/>
        </w:rPr>
      </w:pPr>
      <w:r>
        <w:rPr>
          <w:rFonts w:ascii="Arial" w:hAnsi="Arial"/>
          <w:sz w:val="36"/>
          <w:szCs w:val="36"/>
        </w:rPr>
      </w:r>
    </w:p>
    <w:p xmlns:wp14="http://schemas.microsoft.com/office/word/2010/wordml" w14:paraId="3D94284D" wp14:textId="77777777">
      <w:pPr>
        <w:pStyle w:val="ListParagraph"/>
        <w:widowControl w:val="false"/>
        <w:numPr>
          <w:ilvl w:val="0"/>
          <w:numId w:val="0"/>
        </w:numPr>
        <w:spacing w:line="276" w:lineRule="auto"/>
        <w:ind w:left="0" w:hanging="0"/>
        <w:rPr>
          <w:rFonts w:ascii="Arial" w:hAnsi="Arial"/>
          <w:i/>
          <w:i/>
          <w:iCs/>
          <w:sz w:val="28"/>
          <w:szCs w:val="28"/>
          <w:u w:val="single"/>
        </w:rPr>
      </w:pPr>
      <w:r>
        <w:rPr>
          <w:rFonts w:ascii="Arial" w:hAnsi="Arial"/>
          <w:i/>
          <w:iCs/>
          <w:sz w:val="28"/>
          <w:szCs w:val="28"/>
          <w:u w:val="single"/>
        </w:rPr>
        <w:t>Reference List</w:t>
      </w:r>
    </w:p>
    <w:p xmlns:wp14="http://schemas.microsoft.com/office/word/2010/wordml" w14:paraId="41C8F396" wp14:textId="77777777">
      <w:pPr>
        <w:pStyle w:val="ListParagraph"/>
        <w:widowControl w:val="false"/>
        <w:numPr>
          <w:ilvl w:val="0"/>
          <w:numId w:val="0"/>
        </w:numPr>
        <w:spacing w:line="276" w:lineRule="auto"/>
        <w:ind w:left="0" w:hanging="0"/>
        <w:rPr>
          <w:rFonts w:ascii="Arial" w:hAnsi="Arial"/>
          <w:i w:val="false"/>
          <w:i w:val="false"/>
          <w:iCs w:val="false"/>
          <w:sz w:val="28"/>
          <w:szCs w:val="28"/>
          <w:u w:val="none"/>
        </w:rPr>
      </w:pPr>
      <w:r>
        <w:rPr>
          <w:rFonts w:ascii="Arial" w:hAnsi="Arial"/>
          <w:i w:val="false"/>
          <w:iCs w:val="false"/>
          <w:sz w:val="28"/>
          <w:szCs w:val="28"/>
          <w:u w:val="none"/>
        </w:rPr>
        <w:tab/>
      </w:r>
    </w:p>
    <w:p xmlns:wp14="http://schemas.microsoft.com/office/word/2010/wordml" w14:paraId="0AC3EB62" wp14:textId="77777777">
      <w:pPr>
        <w:pStyle w:val="ListParagraph"/>
        <w:widowControl w:val="false"/>
        <w:numPr>
          <w:ilvl w:val="0"/>
          <w:numId w:val="0"/>
        </w:numPr>
        <w:spacing w:line="276" w:lineRule="auto"/>
        <w:ind w:left="0" w:hanging="0"/>
        <w:rPr>
          <w:rFonts w:ascii="Arial" w:hAnsi="Arial"/>
          <w:i w:val="false"/>
          <w:i w:val="false"/>
          <w:iCs w:val="false"/>
          <w:sz w:val="28"/>
          <w:szCs w:val="28"/>
          <w:u w:val="none"/>
        </w:rPr>
      </w:pPr>
      <w:r>
        <w:rPr>
          <w:rFonts w:ascii="Arial" w:hAnsi="Arial"/>
          <w:i w:val="false"/>
          <w:iCs w:val="false"/>
          <w:sz w:val="24"/>
          <w:szCs w:val="24"/>
          <w:u w:val="none"/>
        </w:rPr>
        <w:tab/>
      </w:r>
      <w:r>
        <w:rPr>
          <w:rFonts w:ascii="Arial" w:hAnsi="Arial"/>
          <w:i w:val="false"/>
          <w:iCs w:val="false"/>
          <w:sz w:val="24"/>
          <w:szCs w:val="24"/>
          <w:u w:val="none"/>
        </w:rPr>
        <w:t xml:space="preserve">Blumer, H. (1986) </w:t>
      </w:r>
      <w:r>
        <w:rPr>
          <w:rFonts w:ascii="Arial" w:hAnsi="Arial"/>
          <w:i/>
          <w:iCs/>
          <w:sz w:val="24"/>
          <w:szCs w:val="24"/>
          <w:u w:val="none"/>
        </w:rPr>
        <w:t xml:space="preserve">Symbolic interactionism: perspective and method. </w:t>
      </w:r>
      <w:r>
        <w:rPr>
          <w:rFonts w:ascii="Arial" w:hAnsi="Arial"/>
          <w:i w:val="false"/>
          <w:iCs w:val="false"/>
          <w:sz w:val="24"/>
          <w:szCs w:val="24"/>
          <w:u w:val="none"/>
        </w:rPr>
        <w:t>London: University of California Press</w:t>
      </w:r>
    </w:p>
    <w:p xmlns:wp14="http://schemas.microsoft.com/office/word/2010/wordml" w:rsidP="128C2073" w14:paraId="492FCB5B" wp14:textId="027078B0">
      <w:pPr>
        <w:pStyle w:val="ListParagraph"/>
        <w:widowControl w:val="0"/>
        <w:spacing w:line="276" w:lineRule="auto"/>
        <w:ind w:left="0" w:hanging="0"/>
        <w:rPr>
          <w:rFonts w:ascii="Arial" w:hAnsi="Arial"/>
          <w:i w:val="0"/>
          <w:i w:val="false"/>
          <w:iCs w:val="0"/>
          <w:sz w:val="28"/>
          <w:szCs w:val="28"/>
          <w:u w:val="none"/>
        </w:rPr>
      </w:pPr>
      <w:r>
        <w:rPr>
          <w:rFonts w:ascii="Arial" w:hAnsi="Arial"/>
          <w:i w:val="false"/>
          <w:iCs w:val="false"/>
          <w:sz w:val="24"/>
          <w:szCs w:val="24"/>
          <w:u w:val="none"/>
        </w:rPr>
        <w:tab/>
      </w:r>
      <w:r w:rsidRPr="128C2073" w:rsidR="128C2073">
        <w:rPr>
          <w:rFonts w:ascii="Arial" w:hAnsi="Arial"/>
          <w:i w:val="0"/>
          <w:iCs w:val="0"/>
          <w:sz w:val="24"/>
          <w:szCs w:val="24"/>
          <w:u w:val="none"/>
        </w:rPr>
        <w:t xml:space="preserve">Curran, J. and Seaton, J. </w:t>
      </w:r>
      <w:r w:rsidRPr="128C2073" w:rsidR="128C2073">
        <w:rPr>
          <w:rFonts w:ascii="Arial" w:hAnsi="Arial"/>
          <w:i w:val="1"/>
          <w:iCs w:val="1"/>
          <w:sz w:val="24"/>
          <w:szCs w:val="24"/>
          <w:u w:val="none"/>
        </w:rPr>
        <w:t xml:space="preserve">Power without </w:t>
      </w:r>
      <w:r w:rsidRPr="128C2073" w:rsidR="128C2073">
        <w:rPr>
          <w:rFonts w:ascii="Arial" w:hAnsi="Arial"/>
          <w:i w:val="1"/>
          <w:iCs w:val="1"/>
          <w:sz w:val="24"/>
          <w:szCs w:val="24"/>
          <w:u w:val="none"/>
        </w:rPr>
        <w:t xml:space="preserve">responsibility</w:t>
      </w:r>
      <w:r w:rsidRPr="128C2073" w:rsidR="128C2073">
        <w:rPr>
          <w:rFonts w:ascii="Arial" w:hAnsi="Arial"/>
          <w:i w:val="1"/>
          <w:iCs w:val="1"/>
          <w:sz w:val="24"/>
          <w:szCs w:val="24"/>
          <w:u w:val="none"/>
        </w:rPr>
        <w:t xml:space="preserve">.</w:t>
      </w:r>
      <w:r w:rsidRPr="128C2073" w:rsidR="128C2073">
        <w:rPr>
          <w:rFonts w:ascii="Arial" w:hAnsi="Arial"/>
          <w:i w:val="1"/>
          <w:iCs w:val="1"/>
          <w:sz w:val="24"/>
          <w:szCs w:val="24"/>
          <w:u w:val="none"/>
        </w:rPr>
        <w:t xml:space="preserve"> </w:t>
      </w:r>
      <w:r w:rsidRPr="128C2073" w:rsidR="128C2073">
        <w:rPr>
          <w:rFonts w:ascii="Arial" w:hAnsi="Arial"/>
          <w:i w:val="0"/>
          <w:iCs w:val="0"/>
          <w:sz w:val="24"/>
          <w:szCs w:val="24"/>
          <w:u w:val="none"/>
        </w:rPr>
        <w:t>Oxon: Routledge</w:t>
      </w:r>
    </w:p>
    <w:p xmlns:wp14="http://schemas.microsoft.com/office/word/2010/wordml" w14:paraId="6DF5D249" wp14:textId="77777777">
      <w:pPr>
        <w:pStyle w:val="ListParagraph"/>
        <w:widowControl w:val="false"/>
        <w:numPr>
          <w:ilvl w:val="0"/>
          <w:numId w:val="0"/>
        </w:numPr>
        <w:spacing w:line="276" w:lineRule="auto"/>
        <w:ind w:left="0" w:hanging="0"/>
        <w:rPr>
          <w:rFonts w:ascii="Arial" w:hAnsi="Arial"/>
          <w:i w:val="false"/>
          <w:i w:val="false"/>
          <w:iCs w:val="false"/>
          <w:sz w:val="28"/>
          <w:szCs w:val="28"/>
          <w:u w:val="none"/>
        </w:rPr>
      </w:pPr>
      <w:r>
        <w:rPr>
          <w:rFonts w:ascii="Arial" w:hAnsi="Arial"/>
          <w:i w:val="false"/>
          <w:iCs w:val="false"/>
          <w:sz w:val="24"/>
          <w:szCs w:val="24"/>
          <w:u w:val="none"/>
        </w:rPr>
        <w:tab/>
      </w:r>
      <w:r>
        <w:rPr>
          <w:rFonts w:ascii="Arial" w:hAnsi="Arial"/>
          <w:i w:val="false"/>
          <w:iCs w:val="false"/>
          <w:sz w:val="24"/>
          <w:szCs w:val="24"/>
          <w:u w:val="none"/>
        </w:rPr>
        <w:t xml:space="preserve">Jakubowski, F. (1990) </w:t>
      </w:r>
      <w:r>
        <w:rPr>
          <w:rFonts w:ascii="Arial" w:hAnsi="Arial"/>
          <w:i/>
          <w:iCs/>
          <w:sz w:val="24"/>
          <w:szCs w:val="24"/>
          <w:u w:val="none"/>
        </w:rPr>
        <w:t>Ideology and superstructure in historical materialism.</w:t>
      </w:r>
      <w:r>
        <w:rPr>
          <w:rFonts w:ascii="Arial" w:hAnsi="Arial"/>
          <w:i w:val="false"/>
          <w:iCs w:val="false"/>
          <w:sz w:val="24"/>
          <w:szCs w:val="24"/>
          <w:u w:val="none"/>
        </w:rPr>
        <w:t xml:space="preserve"> Translated by: Booth, A. London: Pluto Press.</w:t>
      </w:r>
    </w:p>
    <w:p xmlns:wp14="http://schemas.microsoft.com/office/word/2010/wordml" w14:paraId="75FEAA07" wp14:textId="77777777">
      <w:pPr>
        <w:pStyle w:val="ListParagraph"/>
        <w:widowControl w:val="false"/>
        <w:numPr>
          <w:ilvl w:val="0"/>
          <w:numId w:val="0"/>
        </w:numPr>
        <w:spacing w:line="276" w:lineRule="auto"/>
        <w:ind w:left="0" w:hanging="0"/>
        <w:rPr>
          <w:rFonts w:ascii="Arial" w:hAnsi="Arial"/>
          <w:i w:val="false"/>
          <w:i w:val="false"/>
          <w:iCs w:val="false"/>
          <w:sz w:val="24"/>
          <w:szCs w:val="24"/>
          <w:u w:val="none"/>
        </w:rPr>
      </w:pPr>
      <w:r>
        <w:rPr>
          <w:rFonts w:ascii="Arial" w:hAnsi="Arial"/>
          <w:i w:val="false"/>
          <w:iCs w:val="false"/>
          <w:sz w:val="24"/>
          <w:szCs w:val="24"/>
          <w:u w:val="none"/>
        </w:rPr>
        <w:tab/>
      </w:r>
      <w:r>
        <w:rPr>
          <w:rFonts w:ascii="Arial" w:hAnsi="Arial"/>
          <w:i w:val="false"/>
          <w:iCs w:val="false"/>
          <w:sz w:val="24"/>
          <w:szCs w:val="24"/>
          <w:u w:val="none"/>
        </w:rPr>
        <w:t xml:space="preserve">Karl, M. and Engels, F (2018) </w:t>
      </w:r>
      <w:r>
        <w:rPr>
          <w:rFonts w:ascii="Arial" w:hAnsi="Arial"/>
          <w:i/>
          <w:iCs/>
          <w:sz w:val="24"/>
          <w:szCs w:val="24"/>
          <w:u w:val="none"/>
        </w:rPr>
        <w:t>The communist manifesto.</w:t>
      </w:r>
      <w:r>
        <w:rPr>
          <w:rFonts w:ascii="Arial" w:hAnsi="Arial"/>
          <w:i w:val="false"/>
          <w:iCs w:val="false"/>
          <w:sz w:val="24"/>
          <w:szCs w:val="24"/>
          <w:u w:val="none"/>
        </w:rPr>
        <w:t xml:space="preserve"> London: Vintage.</w:t>
      </w:r>
    </w:p>
    <w:p xmlns:wp14="http://schemas.microsoft.com/office/word/2010/wordml" w:rsidP="128C2073" w14:paraId="7DED0347" wp14:textId="0EC4D740">
      <w:pPr>
        <w:pStyle w:val="ListParagraph"/>
        <w:widowControl w:val="0"/>
        <w:spacing w:line="276" w:lineRule="auto"/>
        <w:ind w:left="0" w:hanging="0"/>
        <w:rPr>
          <w:rFonts w:ascii="Arial" w:hAnsi="Arial"/>
          <w:i w:val="0"/>
          <w:i w:val="false"/>
          <w:iCs w:val="0"/>
          <w:sz w:val="24"/>
          <w:szCs w:val="24"/>
          <w:u w:val="none"/>
        </w:rPr>
      </w:pPr>
      <w:r>
        <w:rPr>
          <w:rFonts w:ascii="Arial" w:hAnsi="Arial"/>
          <w:i w:val="false"/>
          <w:iCs w:val="false"/>
          <w:sz w:val="24"/>
          <w:szCs w:val="24"/>
          <w:u w:val="none"/>
        </w:rPr>
        <w:tab/>
      </w:r>
      <w:r w:rsidRPr="128C2073" w:rsidR="128C2073">
        <w:rPr>
          <w:rFonts w:ascii="Arial" w:hAnsi="Arial"/>
          <w:i w:val="0"/>
          <w:iCs w:val="0"/>
          <w:sz w:val="24"/>
          <w:szCs w:val="24"/>
          <w:u w:val="none"/>
        </w:rPr>
        <w:t xml:space="preserve">Little, D. (no date) </w:t>
      </w:r>
      <w:r w:rsidRPr="128C2073" w:rsidR="128C2073">
        <w:rPr>
          <w:rFonts w:ascii="Arial" w:hAnsi="Arial"/>
          <w:i w:val="1"/>
          <w:iCs w:val="1"/>
          <w:sz w:val="24"/>
          <w:szCs w:val="24"/>
          <w:u w:val="none"/>
        </w:rPr>
        <w:t xml:space="preserve">False consciousness.</w:t>
      </w:r>
      <w:r w:rsidRPr="128C2073" w:rsidR="128C2073">
        <w:rPr>
          <w:rFonts w:ascii="Arial" w:hAnsi="Arial"/>
          <w:i w:val="1"/>
          <w:iCs w:val="1"/>
          <w:sz w:val="24"/>
          <w:szCs w:val="24"/>
          <w:u w:val="none"/>
        </w:rPr>
        <w:t xml:space="preserve"> </w:t>
      </w:r>
      <w:r w:rsidRPr="128C2073" w:rsidR="128C2073">
        <w:rPr>
          <w:rFonts w:ascii="Arial" w:hAnsi="Arial"/>
          <w:i w:val="0"/>
          <w:iCs w:val="0"/>
          <w:sz w:val="24"/>
          <w:szCs w:val="24"/>
          <w:u w:val="none"/>
        </w:rPr>
        <w:t xml:space="preserve">Available</w:t>
      </w:r>
      <w:r w:rsidRPr="128C2073" w:rsidR="128C2073">
        <w:rPr>
          <w:rFonts w:ascii="Arial" w:hAnsi="Arial"/>
          <w:i w:val="0"/>
          <w:iCs w:val="0"/>
          <w:sz w:val="24"/>
          <w:szCs w:val="24"/>
          <w:u w:val="none"/>
        </w:rPr>
        <w:t xml:space="preserve"> at: </w:t>
      </w:r>
      <w:hyperlink r:id="Rd8f8335f74564fda">
        <w:r w:rsidRPr="128C2073" w:rsidR="128C2073">
          <w:rPr>
            <w:rStyle w:val="InternetLink"/>
            <w:rFonts w:ascii="Arial" w:hAnsi="Arial"/>
            <w:i w:val="0"/>
            <w:iCs w:val="0"/>
            <w:sz w:val="24"/>
            <w:szCs w:val="24"/>
            <w:u w:val="none"/>
          </w:rPr>
          <w:t>http://www-personal.umd.umich.edu/~delittle/iess%20false%20consciousness%20V2.htm</w:t>
        </w:r>
      </w:hyperlink>
      <w:r w:rsidRPr="128C2073" w:rsidR="128C2073">
        <w:rPr>
          <w:rFonts w:ascii="Arial" w:hAnsi="Arial"/>
          <w:i w:val="0"/>
          <w:iCs w:val="0"/>
          <w:sz w:val="24"/>
          <w:szCs w:val="24"/>
          <w:u w:val="none"/>
        </w:rPr>
        <w:t xml:space="preserve"> (Accessed: 19 October 2023).</w:t>
      </w:r>
    </w:p>
    <w:p xmlns:wp14="http://schemas.microsoft.com/office/word/2010/wordml" w:rsidP="128C2073" w14:paraId="710CF1B2" wp14:textId="76D84494">
      <w:pPr>
        <w:pStyle w:val="ListParagraph"/>
        <w:widowControl w:val="0"/>
        <w:spacing w:line="276" w:lineRule="auto"/>
        <w:ind w:left="0" w:hanging="0"/>
        <w:rPr>
          <w:rFonts w:ascii="Arial" w:hAnsi="Arial"/>
          <w:i w:val="0"/>
          <w:i w:val="false"/>
          <w:iCs w:val="0"/>
          <w:sz w:val="24"/>
          <w:szCs w:val="24"/>
          <w:u w:val="none"/>
        </w:rPr>
      </w:pPr>
      <w:r>
        <w:rPr>
          <w:rFonts w:ascii="Arial" w:hAnsi="Arial"/>
          <w:i w:val="false"/>
          <w:iCs w:val="false"/>
          <w:sz w:val="24"/>
          <w:szCs w:val="24"/>
          <w:u w:val="none"/>
        </w:rPr>
        <w:tab/>
      </w:r>
      <w:r w:rsidRPr="128C2073" w:rsidR="128C2073">
        <w:rPr>
          <w:rFonts w:ascii="Arial" w:hAnsi="Arial"/>
          <w:i w:val="0"/>
          <w:iCs w:val="0"/>
          <w:sz w:val="24"/>
          <w:szCs w:val="24"/>
          <w:u w:val="none"/>
        </w:rPr>
        <w:t xml:space="preserve">West, C. and Zimmerman, D. (1987) </w:t>
      </w:r>
      <w:r w:rsidRPr="128C2073" w:rsidR="128C2073">
        <w:rPr>
          <w:rFonts w:ascii="Arial" w:hAnsi="Arial"/>
          <w:i w:val="1"/>
          <w:iCs w:val="1"/>
          <w:sz w:val="24"/>
          <w:szCs w:val="24"/>
          <w:u w:val="none"/>
        </w:rPr>
        <w:t xml:space="preserve">Doing gender. </w:t>
      </w:r>
      <w:r w:rsidRPr="128C2073" w:rsidR="128C2073">
        <w:rPr>
          <w:rFonts w:ascii="Arial" w:hAnsi="Arial"/>
          <w:i w:val="0"/>
          <w:iCs w:val="0"/>
          <w:sz w:val="24"/>
          <w:szCs w:val="24"/>
          <w:u w:val="none"/>
        </w:rPr>
        <w:t xml:space="preserve">Available</w:t>
      </w:r>
      <w:r w:rsidRPr="128C2073" w:rsidR="128C2073">
        <w:rPr>
          <w:rFonts w:ascii="Arial" w:hAnsi="Arial"/>
          <w:i w:val="0"/>
          <w:iCs w:val="0"/>
          <w:sz w:val="24"/>
          <w:szCs w:val="24"/>
          <w:u w:val="none"/>
        </w:rPr>
        <w:t xml:space="preserve"> at: </w:t>
      </w:r>
      <w:hyperlink r:id="Rf0405b1d8fe24f7f">
        <w:r w:rsidRPr="128C2073" w:rsidR="128C2073">
          <w:rPr>
            <w:rStyle w:val="InternetLink"/>
            <w:rFonts w:ascii="Arial" w:hAnsi="Arial"/>
            <w:i w:val="0"/>
            <w:iCs w:val="0"/>
            <w:sz w:val="24"/>
            <w:szCs w:val="24"/>
            <w:u w:val="none"/>
          </w:rPr>
          <w:t>https://www.gla.ac.uk/0t4/crcees/files/summerschool/readings/WestZimmerman_1987_DoingGender.pdf</w:t>
        </w:r>
      </w:hyperlink>
      <w:r w:rsidRPr="128C2073" w:rsidR="128C2073">
        <w:rPr>
          <w:rFonts w:ascii="Arial" w:hAnsi="Arial"/>
          <w:i w:val="0"/>
          <w:iCs w:val="0"/>
          <w:sz w:val="24"/>
          <w:szCs w:val="24"/>
          <w:u w:val="none"/>
        </w:rPr>
        <w:t xml:space="preserve"> (Accessed: 20 October 2023)</w:t>
      </w:r>
    </w:p>
    <w:p xmlns:wp14="http://schemas.microsoft.com/office/word/2010/wordml" w14:paraId="72A3D3EC" wp14:textId="77777777">
      <w:pPr>
        <w:pStyle w:val="ListParagraph"/>
        <w:widowControl w:val="false"/>
        <w:numPr>
          <w:ilvl w:val="0"/>
          <w:numId w:val="0"/>
        </w:numPr>
        <w:spacing w:line="276" w:lineRule="auto"/>
        <w:ind w:left="0" w:hanging="0"/>
        <w:rPr>
          <w:rFonts w:ascii="Arial" w:hAnsi="Arial"/>
          <w:i w:val="false"/>
          <w:i w:val="false"/>
          <w:iCs w:val="false"/>
          <w:sz w:val="24"/>
          <w:szCs w:val="24"/>
          <w:u w:val="none"/>
        </w:rPr>
      </w:pPr>
      <w:r>
        <w:rPr>
          <w:rFonts w:ascii="Arial" w:hAnsi="Arial"/>
          <w:i w:val="false"/>
          <w:iCs w:val="false"/>
          <w:sz w:val="24"/>
          <w:szCs w:val="24"/>
          <w:u w:val="none"/>
        </w:rPr>
        <w:tab/>
      </w:r>
    </w:p>
    <w:sectPr>
      <w:type w:val="nextPage"/>
      <w:pgSz w:w="16838" w:h="11906" w:orient="landscape"/>
      <w:pgMar w:top="720" w:right="720" w:bottom="720" w:left="720" w:header="0" w:footer="0"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Arial">
    <w:charset w:val="01"/>
    <w:family w:val="roman"/>
    <w:pitch w:val="variable"/>
  </w:font>
</w:fonts>
</file>

<file path=word/intelligence2.xml><?xml version="1.0" encoding="utf-8"?>
<int2:intelligence xmlns:int2="http://schemas.microsoft.com/office/intelligence/2020/intelligence">
  <int2:observations>
    <int2:bookmark int2:bookmarkName="_Int_27VT5VcO" int2:invalidationBookmarkName="" int2:hashCode="1QXnU7ur14Zixv" int2:id="FrHl1zIm">
      <int2:state int2:type="WordDesignerSuggestedImageAnnotation" int2:value="Reviewed"/>
    </int2:bookmark>
    <int2:bookmark int2:bookmarkName="_Int_OLxlZAU2" int2:invalidationBookmarkName="" int2:hashCode="f1OmjTJDRvyEV6" int2:id="0UEfwfe7">
      <int2:state int2:type="AugLoop_Text_Critique" int2:value="Rejected"/>
    </int2:bookmark>
    <int2:bookmark int2:bookmarkName="_Int_m2WLKeeV" int2:invalidationBookmarkName="" int2:hashCode="bc1M4j2I4u6VaL" int2:id="3AZgzVrX">
      <int2:state int2:type="AugLoop_Text_Critique"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5a83978e"/>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1df45dc8"/>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14:docId w14:val="2C969F5A"/>
  <w15:docId w15:val="{B6441447-D56D-436D-9166-0359FDD3D949}"/>
  <w:rsids>
    <w:rsidRoot w:val="128C2073"/>
    <w:rsid w:val="128C2073"/>
    <w:rsid w:val="2F50A295"/>
    <w:rsid w:val="34566ABE"/>
    <w:rsid w:val="4A072D14"/>
    <w:rsid w:val="5DAF1F75"/>
    <w:rsid w:val="7778A59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hAnsiTheme="minorHAnsi" w:eastAsiaTheme="minorHAnsi" w:cstheme="minorBid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d6a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 Type="http://schemas.openxmlformats.org/officeDocument/2006/relationships/hyperlink" Target="http://www-personal.umd.umich.edu/~delittle/iess false consciousness V2.htm" TargetMode="External" Id="Rd8f8335f74564fda" /><Relationship Type="http://schemas.openxmlformats.org/officeDocument/2006/relationships/hyperlink" Target="https://www.gla.ac.uk/0t4/crcees/files/summerschool/readings/WestZimmerman_1987_DoingGender.pdf" TargetMode="External" Id="Rf0405b1d8fe24f7f" /><Relationship Type="http://schemas.microsoft.com/office/2020/10/relationships/intelligence" Target="intelligence2.xml" Id="R88f26bfc333741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B672-7A98-D147-B060-32A891428D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2023-09-15T08:27:00.0000000Z</dcterms:created>
  <dc:creator>Andrew Kaighin</dc:creator>
  <dc:description/>
  <dc:language>en-GB</dc:language>
  <lastModifiedBy>Ben White (5264753)</lastModifiedBy>
  <dcterms:modified xsi:type="dcterms:W3CDTF">2023-10-23T00:41:24.7614169Z</dcterms:modified>
  <revision>7</revision>
  <dc:subject/>
  <dc:title/>
</coreProperties>
</file>

<file path=docProps/custom.xml><?xml version="1.0" encoding="utf-8"?>
<Properties xmlns="http://schemas.openxmlformats.org/officeDocument/2006/custom-properties" xmlns:vt="http://schemas.openxmlformats.org/officeDocument/2006/docPropsVTypes"/>
</file>