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31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36"/>
        <w:gridCol w:w="1718"/>
        <w:gridCol w:w="116"/>
        <w:gridCol w:w="1617"/>
        <w:gridCol w:w="1339"/>
        <w:gridCol w:w="1049"/>
        <w:gridCol w:w="1038"/>
      </w:tblGrid>
      <w:tr>
        <w:trPr>
          <w:trHeight w:val="258" w:hRule="atLeast"/>
        </w:trPr>
        <w:tc>
          <w:tcPr>
            <w:tcW w:w="5270"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spacing w:lineRule="auto" w:line="276" w:before="60" w:after="60"/>
              <w:rPr>
                <w:lang w:val="en-GB"/>
              </w:rPr>
            </w:pPr>
            <w:r>
              <w:rPr>
                <w:rFonts w:eastAsia="Times New Roman" w:cs="Times New Roman" w:ascii="Arial" w:hAnsi="Arial"/>
                <w:b/>
                <w:bCs/>
                <w:color w:val="000000" w:themeColor="text1"/>
                <w:sz w:val="24"/>
                <w:lang w:val="en-GB" w:eastAsia="en-GB"/>
              </w:rPr>
              <w:t>Name of Centre:</w:t>
            </w:r>
            <w:r>
              <w:rPr>
                <w:rFonts w:eastAsia="Times New Roman" w:cs="Times New Roman" w:ascii="Arial" w:hAnsi="Arial"/>
                <w:color w:val="4F2683"/>
                <w:sz w:val="28"/>
                <w:szCs w:val="28"/>
                <w:lang w:val="en-GB" w:eastAsia="en-GB"/>
              </w:rPr>
              <w:t xml:space="preserve"> </w:t>
            </w:r>
            <w:r>
              <w:rPr>
                <w:rFonts w:eastAsia="Times New Roman" w:cs="Times New Roman" w:ascii="Arial" w:hAnsi="Arial"/>
                <w:b/>
                <w:bCs/>
                <w:color w:val="000000" w:themeColor="text1"/>
                <w:sz w:val="24"/>
                <w:lang w:val="en-GB" w:eastAsia="en-GB"/>
              </w:rPr>
              <w:t>Gloucestershire College</w:t>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Arial" w:hAnsi="Arial" w:eastAsia="Times New Roman" w:cs="Arial"/>
                <w:sz w:val="24"/>
                <w:szCs w:val="20"/>
                <w:lang w:val="en-GB" w:eastAsia="en-GB"/>
              </w:rPr>
            </w:pPr>
            <w:r>
              <w:rPr>
                <w:rFonts w:eastAsia="Times New Roman" w:cs="Arial" w:ascii="Arial" w:hAnsi="Arial"/>
                <w:sz w:val="24"/>
                <w:szCs w:val="20"/>
                <w:lang w:val="en-GB" w:eastAsia="en-GB"/>
              </w:rPr>
            </w:r>
          </w:p>
          <w:p>
            <w:pPr>
              <w:pStyle w:val="Normal"/>
              <w:widowControl w:val="false"/>
              <w:rPr>
                <w:rFonts w:ascii="Times New Roman" w:hAnsi="Times New Roman" w:eastAsia="Times New Roman" w:cs="Times New Roman"/>
                <w:b/>
                <w:szCs w:val="20"/>
                <w:lang w:val="en-GB" w:eastAsia="en-GB"/>
              </w:rPr>
            </w:pPr>
            <w:r>
              <w:rPr>
                <w:rFonts w:eastAsia="Times New Roman" w:cs="Times New Roman" w:ascii="Times New Roman" w:hAnsi="Times New Roman"/>
                <w:b/>
                <w:szCs w:val="20"/>
                <w:lang w:val="en-GB" w:eastAsia="en-GB"/>
              </w:rPr>
            </w:r>
          </w:p>
        </w:tc>
        <w:tc>
          <w:tcPr>
            <w:tcW w:w="5043"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lang w:val="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p>
        </w:tc>
      </w:tr>
      <w:tr>
        <w:trPr>
          <w:trHeight w:val="561"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Arial" w:ascii="Arial" w:hAnsi="Arial"/>
                <w:b/>
                <w:szCs w:val="20"/>
                <w:lang w:val="en-GB" w:eastAsia="en-GB"/>
              </w:rPr>
              <w:t>Level Achieved:</w:t>
            </w:r>
          </w:p>
        </w:tc>
        <w:tc>
          <w:tcPr>
            <w:tcW w:w="2087"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4"/>
                <w:szCs w:val="20"/>
                <w:lang w:val="en-GB" w:eastAsia="en-GB"/>
              </w:rPr>
              <w:t>L3</w:t>
            </w:r>
          </w:p>
        </w:tc>
      </w:tr>
      <w:tr>
        <w:trPr>
          <w:trHeight w:val="644" w:hRule="atLeast"/>
        </w:trPr>
        <w:tc>
          <w:tcPr>
            <w:tcW w:w="5270" w:type="dxa"/>
            <w:gridSpan w:val="3"/>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000000"/>
                <w:sz w:val="24"/>
                <w:szCs w:val="28"/>
                <w:lang w:val="en-GB" w:eastAsia="en-GB"/>
              </w:rPr>
            </w:pPr>
            <w:r>
              <w:rPr>
                <w:rFonts w:eastAsia="Times New Roman" w:cs="Times New Roman" w:ascii="Arial" w:hAnsi="Arial"/>
                <w:b/>
                <w:bCs/>
                <w:color w:val="000000"/>
                <w:sz w:val="24"/>
                <w:szCs w:val="28"/>
                <w:lang w:val="en-GB" w:eastAsia="en-GB"/>
              </w:rPr>
            </w:r>
          </w:p>
        </w:tc>
        <w:tc>
          <w:tcPr>
            <w:tcW w:w="2956"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lang w:val="en-GB"/>
              </w:rPr>
            </w:pPr>
            <w:r>
              <w:rPr>
                <w:rFonts w:eastAsia="Times New Roman" w:cs="Times New Roman" w:ascii="Arial" w:hAnsi="Arial"/>
                <w:b/>
                <w:szCs w:val="22"/>
                <w:lang w:val="en-GB" w:eastAsia="en-GB"/>
              </w:rPr>
              <w:t>Resubmission?</w:t>
            </w:r>
          </w:p>
        </w:tc>
        <w:tc>
          <w:tcPr>
            <w:tcW w:w="1049"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Y</w:t>
            </w:r>
          </w:p>
        </w:tc>
        <w:tc>
          <w:tcPr>
            <w:tcW w:w="1038"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lang w:val="en-GB"/>
              </w:rPr>
            </w:pPr>
            <w:r>
              <w:rPr>
                <w:rFonts w:eastAsia="Times New Roman" w:cs="Times New Roman" w:ascii="Arial" w:hAnsi="Arial"/>
                <w:b/>
                <w:sz w:val="22"/>
                <w:szCs w:val="22"/>
                <w:lang w:val="en-GB" w:eastAsia="en-GB"/>
              </w:rPr>
              <w:t>N</w:t>
            </w:r>
          </w:p>
        </w:tc>
      </w:tr>
      <w:tr>
        <w:trPr/>
        <w:tc>
          <w:tcPr>
            <w:tcW w:w="10313" w:type="dxa"/>
            <w:gridSpan w:val="7"/>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Times New Roman"/>
                <w:b/>
                <w:bCs/>
                <w:color w:val="4F2683"/>
                <w:sz w:val="2"/>
                <w:szCs w:val="28"/>
                <w:lang w:val="en-GB" w:eastAsia="en-GB"/>
              </w:rPr>
            </w:pPr>
            <w:r>
              <w:rPr>
                <w:rFonts w:eastAsia="Times New Roman" w:cs="Times New Roman" w:ascii="Arial" w:hAnsi="Arial"/>
                <w:b/>
                <w:bCs/>
                <w:color w:val="4F2683"/>
                <w:sz w:val="2"/>
                <w:szCs w:val="28"/>
                <w:lang w:val="en-GB" w:eastAsia="en-GB"/>
              </w:rPr>
            </w:r>
          </w:p>
        </w:tc>
      </w:tr>
      <w:tr>
        <w:trPr>
          <w:trHeight w:val="738" w:hRule="atLeast"/>
        </w:trPr>
        <w:tc>
          <w:tcPr>
            <w:tcW w:w="1031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bCs/>
                <w:sz w:val="22"/>
                <w:szCs w:val="22"/>
                <w:lang w:val="en-GB" w:eastAsia="en-GB"/>
              </w:rPr>
              <w:t>Title of Access to HE Diploma: Health and Human Sciences; Humanities and Social Science; Science.</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15" w:hRule="atLeast"/>
          <w:cantSplit w:val="true"/>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Unit title:  Preparation for Higher Education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0" w:after="0"/>
              <w:rPr>
                <w:lang w:val="en-GB"/>
              </w:rPr>
            </w:pPr>
            <w:r>
              <w:rPr>
                <w:rFonts w:eastAsia="Times New Roman" w:cs="Arial" w:ascii="Arial" w:hAnsi="Arial"/>
                <w:b/>
                <w:bCs/>
                <w:sz w:val="22"/>
                <w:szCs w:val="22"/>
                <w:lang w:val="en-GB" w:eastAsia="en-GB"/>
              </w:rPr>
              <w:t>Unit code: CBB392</w:t>
            </w:r>
          </w:p>
        </w:tc>
      </w:tr>
      <w:tr>
        <w:trPr>
          <w:trHeight w:val="567" w:hRule="atLeast"/>
        </w:trPr>
        <w:tc>
          <w:tcPr>
            <w:tcW w:w="51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159" w:type="dxa"/>
            <w:gridSpan w:val="5"/>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before="60" w:after="0"/>
              <w:ind w:left="0" w:hanging="0"/>
              <w:outlineLvl w:val="2"/>
              <w:rPr>
                <w:lang w:val="en-GB"/>
              </w:rPr>
            </w:pPr>
            <w:r>
              <w:rPr>
                <w:rFonts w:eastAsia="Times New Roman" w:cs="Times New Roman" w:ascii="Arial" w:hAnsi="Arial"/>
                <w:b/>
                <w:bCs/>
                <w:sz w:val="22"/>
                <w:szCs w:val="22"/>
                <w:lang w:val="en-GB" w:eastAsia="en-GB"/>
              </w:rPr>
              <w:t xml:space="preserve">Tutor/Assessor:  Catherine Rogers/Andrew Kaighin </w:t>
            </w:r>
          </w:p>
        </w:tc>
      </w:tr>
      <w:tr>
        <w:trPr>
          <w:trHeight w:val="2379" w:hRule="atLeast"/>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Arial" w:ascii="Arial" w:hAnsi="Arial"/>
                <w:b/>
                <w:bCs/>
                <w:sz w:val="22"/>
                <w:szCs w:val="22"/>
                <w:lang w:val="en-GB" w:eastAsia="en-GB"/>
              </w:rPr>
              <w:t xml:space="preserve">Description of Assignment: </w:t>
            </w:r>
          </w:p>
          <w:p>
            <w:pPr>
              <w:pStyle w:val="Normal"/>
              <w:widowControl w:val="false"/>
              <w:spacing w:before="60" w:after="0"/>
              <w:rPr>
                <w:rFonts w:ascii="Arial" w:hAnsi="Arial" w:eastAsia="Times New Roman" w:cs="Arial"/>
                <w:bCs/>
                <w:i/>
                <w:i/>
                <w:sz w:val="22"/>
                <w:szCs w:val="22"/>
                <w:lang w:val="en-GB" w:eastAsia="en-GB"/>
              </w:rPr>
            </w:pPr>
            <w:r>
              <w:rPr>
                <w:rFonts w:eastAsia="Times New Roman" w:cs="Arial" w:ascii="Arial" w:hAnsi="Arial"/>
                <w:bCs/>
                <w:i/>
                <w:sz w:val="22"/>
                <w:szCs w:val="22"/>
                <w:lang w:val="en-GB" w:eastAsia="en-GB"/>
              </w:rPr>
            </w:r>
          </w:p>
          <w:p>
            <w:pPr>
              <w:pStyle w:val="Normal"/>
              <w:widowControl w:val="false"/>
              <w:spacing w:before="60" w:after="0"/>
              <w:rPr>
                <w:lang w:val="en-GB"/>
              </w:rPr>
            </w:pPr>
            <w:r>
              <w:rPr>
                <w:rFonts w:eastAsia="Times New Roman" w:cs="Arial" w:ascii="Arial" w:hAnsi="Arial"/>
                <w:b/>
                <w:bCs/>
                <w:sz w:val="22"/>
                <w:szCs w:val="22"/>
                <w:lang w:val="en-GB" w:eastAsia="en-GB"/>
              </w:rPr>
              <w:t>Preparation for Higher Education Workbook</w:t>
            </w:r>
            <w:r>
              <w:rPr>
                <w:rFonts w:eastAsia="Times New Roman" w:cs="Arial" w:ascii="Arial" w:hAnsi="Arial"/>
                <w:bCs/>
                <w:i/>
                <w:sz w:val="22"/>
                <w:szCs w:val="22"/>
                <w:lang w:val="en-GB" w:eastAsia="en-GB"/>
              </w:rPr>
              <w:t xml:space="preserve"> (AC1.1, 1.2, 1.3, 2.1, 2.2, 3.1, 3.2, 4.1, 4.2)</w:t>
            </w:r>
          </w:p>
          <w:p>
            <w:pPr>
              <w:pStyle w:val="Normal"/>
              <w:widowControl w:val="false"/>
              <w:spacing w:before="60" w:after="0"/>
              <w:rPr>
                <w:lang w:val="en-GB"/>
              </w:rPr>
            </w:pPr>
            <w:r>
              <w:rPr>
                <w:rFonts w:eastAsia="Times New Roman" w:cs="Arial" w:ascii="Arial" w:hAnsi="Arial"/>
                <w:bCs/>
                <w:iCs/>
                <w:sz w:val="22"/>
                <w:szCs w:val="22"/>
                <w:lang w:val="en-GB" w:eastAsia="en-GB"/>
              </w:rPr>
              <w:t xml:space="preserve">Complete all tasks in the attached workbook. </w:t>
            </w:r>
          </w:p>
          <w:p>
            <w:pPr>
              <w:pStyle w:val="Normal"/>
              <w:widowControl w:val="false"/>
              <w:spacing w:before="60" w:after="0"/>
              <w:rPr>
                <w:rFonts w:ascii="Arial" w:hAnsi="Arial" w:eastAsia="Times New Roman" w:cs="Arial"/>
                <w:bCs/>
                <w:iCs/>
                <w:sz w:val="22"/>
                <w:szCs w:val="22"/>
                <w:lang w:val="en-GB" w:eastAsia="en-GB"/>
              </w:rPr>
            </w:pPr>
            <w:r>
              <w:rPr>
                <w:rFonts w:eastAsia="Times New Roman" w:cs="Arial" w:ascii="Arial" w:hAnsi="Arial"/>
                <w:bCs/>
                <w:iCs/>
                <w:sz w:val="22"/>
                <w:szCs w:val="22"/>
                <w:lang w:val="en-GB" w:eastAsia="en-GB"/>
              </w:rPr>
            </w:r>
          </w:p>
          <w:p>
            <w:pPr>
              <w:pStyle w:val="Normal"/>
              <w:widowControl w:val="false"/>
              <w:spacing w:before="60" w:after="0"/>
              <w:rPr>
                <w:lang w:val="en-GB"/>
              </w:rPr>
            </w:pPr>
            <w:r>
              <w:rPr>
                <w:rFonts w:eastAsia="Times New Roman" w:cs="Arial" w:ascii="Arial" w:hAnsi="Arial"/>
                <w:bCs/>
                <w:iCs/>
                <w:sz w:val="22"/>
                <w:szCs w:val="22"/>
                <w:lang w:val="en-GB" w:eastAsia="en-GB"/>
              </w:rPr>
              <w:t>Your written contribution to this workbook should be approximately 1500 words (excluding your personal statement).</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set:  </w:t>
            </w:r>
          </w:p>
          <w:p>
            <w:pPr>
              <w:pStyle w:val="Normal"/>
              <w:widowControl w:val="false"/>
              <w:spacing w:before="60" w:after="0"/>
              <w:rPr>
                <w:lang w:val="en-GB"/>
              </w:rPr>
            </w:pPr>
            <w:r>
              <w:rPr>
                <w:rFonts w:eastAsia="Times New Roman" w:cs="Times New Roman" w:ascii="Arial" w:hAnsi="Arial"/>
                <w:b/>
                <w:szCs w:val="20"/>
                <w:lang w:val="en-GB" w:eastAsia="en-GB"/>
              </w:rPr>
              <w:t>Tuesday classes: 12.9.23</w:t>
            </w:r>
          </w:p>
          <w:p>
            <w:pPr>
              <w:pStyle w:val="Normal"/>
              <w:widowControl w:val="false"/>
              <w:spacing w:before="60" w:after="0"/>
              <w:rPr>
                <w:lang w:val="en-GB"/>
              </w:rPr>
            </w:pPr>
            <w:r>
              <w:rPr>
                <w:rFonts w:eastAsia="Times New Roman" w:cs="Times New Roman" w:ascii="Arial" w:hAnsi="Arial"/>
                <w:b/>
                <w:szCs w:val="20"/>
                <w:lang w:val="en-GB" w:eastAsia="en-GB"/>
              </w:rPr>
              <w:t>Thursday classes: 14.9.23</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draft submission </w:t>
            </w:r>
          </w:p>
          <w:p>
            <w:pPr>
              <w:pStyle w:val="Normal"/>
              <w:widowControl w:val="false"/>
              <w:rPr>
                <w:lang w:val="en-GB"/>
              </w:rPr>
            </w:pPr>
            <w:r>
              <w:rPr>
                <w:rFonts w:eastAsia="Times New Roman" w:cs="Times New Roman" w:ascii="Arial" w:hAnsi="Arial"/>
                <w:b/>
                <w:szCs w:val="20"/>
                <w:lang w:val="en-GB" w:eastAsia="en-GB"/>
              </w:rPr>
              <w:t>(if applicable):  N/A</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for final </w:t>
            </w:r>
          </w:p>
          <w:p>
            <w:pPr>
              <w:pStyle w:val="Normal"/>
              <w:widowControl w:val="false"/>
              <w:rPr>
                <w:lang w:val="en-GB"/>
              </w:rPr>
            </w:pPr>
            <w:r>
              <w:rPr>
                <w:rFonts w:eastAsia="Times New Roman" w:cs="Times New Roman" w:ascii="Arial" w:hAnsi="Arial"/>
                <w:b/>
                <w:szCs w:val="20"/>
                <w:lang w:val="en-GB" w:eastAsia="en-GB"/>
              </w:rPr>
              <w:t xml:space="preserve">submission:  </w:t>
            </w:r>
          </w:p>
          <w:p>
            <w:pPr>
              <w:pStyle w:val="Normal"/>
              <w:widowControl w:val="false"/>
              <w:rPr>
                <w:lang w:val="en-GB"/>
              </w:rPr>
            </w:pPr>
            <w:r>
              <w:rPr>
                <w:rFonts w:eastAsia="Times New Roman" w:cs="Times New Roman" w:ascii="Arial" w:hAnsi="Arial"/>
                <w:b/>
                <w:bCs/>
                <w:lang w:val="en-GB" w:eastAsia="en-GB"/>
              </w:rPr>
              <w:t>Tuesday classes: 24.9.23</w:t>
            </w:r>
          </w:p>
          <w:p>
            <w:pPr>
              <w:pStyle w:val="Normal"/>
              <w:widowControl w:val="false"/>
              <w:rPr>
                <w:lang w:val="en-GB"/>
              </w:rPr>
            </w:pPr>
            <w:r>
              <w:rPr>
                <w:rFonts w:eastAsia="Times New Roman" w:cs="Times New Roman" w:ascii="Arial" w:hAnsi="Arial"/>
                <w:b/>
                <w:bCs/>
                <w:lang w:val="en-GB" w:eastAsia="en-GB"/>
              </w:rPr>
              <w:t>Thursday classes: 26.10.23</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rFonts w:eastAsia="Times New Roman" w:cs="Times New Roman" w:ascii="Arial" w:hAnsi="Arial"/>
                <w:b/>
                <w:szCs w:val="20"/>
                <w:lang w:val="en-GB" w:eastAsia="en-GB"/>
              </w:rPr>
              <w:t xml:space="preserve">Extension date  </w:t>
            </w:r>
          </w:p>
          <w:p>
            <w:pPr>
              <w:pStyle w:val="Normal"/>
              <w:widowControl w:val="false"/>
              <w:rPr>
                <w:lang w:val="en-GB"/>
              </w:rPr>
            </w:pPr>
            <w:r>
              <w:rPr>
                <w:rFonts w:eastAsia="Times New Roman" w:cs="Times New Roman" w:ascii="Arial" w:hAnsi="Arial"/>
                <w:b/>
                <w:sz w:val="18"/>
                <w:szCs w:val="20"/>
                <w:lang w:val="en-GB" w:eastAsia="en-GB"/>
              </w:rPr>
              <w:t xml:space="preserve">(if agreed):  </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Signed by Tutor/Assessor to agree extension:  </w:t>
            </w:r>
          </w:p>
        </w:tc>
        <w:tc>
          <w:tcPr>
            <w:tcW w:w="34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 xml:space="preserve">Date </w:t>
            </w:r>
          </w:p>
          <w:p>
            <w:pPr>
              <w:pStyle w:val="Normal"/>
              <w:widowControl w:val="false"/>
              <w:rPr>
                <w:lang w:val="en-GB"/>
              </w:rPr>
            </w:pPr>
            <w:r>
              <w:rPr>
                <w:rFonts w:eastAsia="Times New Roman" w:cs="Times New Roman" w:ascii="Arial" w:hAnsi="Arial"/>
                <w:b/>
                <w:szCs w:val="20"/>
                <w:lang w:val="en-GB" w:eastAsia="en-GB"/>
              </w:rPr>
              <w:t>submitted:</w:t>
            </w:r>
            <w:r>
              <w:rPr>
                <w:rFonts w:eastAsia="Times New Roman" w:cs="Times New Roman" w:ascii="Arial" w:hAnsi="Arial"/>
                <w:szCs w:val="20"/>
                <w:lang w:val="en-GB" w:eastAsia="en-GB"/>
              </w:rPr>
              <w:t xml:space="preserve"> </w:t>
            </w:r>
          </w:p>
        </w:tc>
      </w:tr>
      <w:tr>
        <w:trPr>
          <w:trHeight w:val="567" w:hRule="atLeast"/>
          <w:cantSplit w:val="true"/>
        </w:trPr>
        <w:tc>
          <w:tcPr>
            <w:tcW w:w="3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lang w:val="en-GB"/>
              </w:rPr>
            </w:pPr>
            <w:r>
              <w:rPr>
                <w:rFonts w:eastAsia="Times New Roman" w:cs="Times New Roman" w:ascii="Arial" w:hAnsi="Arial"/>
                <w:b/>
                <w:szCs w:val="20"/>
                <w:lang w:val="en-GB" w:eastAsia="en-GB"/>
              </w:rPr>
              <w:t>Internal Moderation:   Yes / No</w:t>
            </w:r>
          </w:p>
          <w:p>
            <w:pPr>
              <w:pStyle w:val="Normal"/>
              <w:widowControl w:val="false"/>
              <w:spacing w:lineRule="auto" w:line="360"/>
              <w:rPr>
                <w:lang w:val="en-GB"/>
              </w:rPr>
            </w:pPr>
            <w:r>
              <w:rPr>
                <w:rFonts w:eastAsia="Times New Roman" w:cs="Times New Roman" w:ascii="Arial" w:hAnsi="Arial"/>
                <w:b/>
                <w:szCs w:val="20"/>
                <w:lang w:val="en-GB" w:eastAsia="en-GB"/>
              </w:rPr>
              <w:t>Date:</w:t>
            </w:r>
          </w:p>
        </w:tc>
        <w:tc>
          <w:tcPr>
            <w:tcW w:w="345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Cs w:val="20"/>
                <w:lang w:val="en-GB" w:eastAsia="en-GB"/>
              </w:rPr>
              <w:t>Signed by internal moderator:</w:t>
            </w:r>
          </w:p>
        </w:tc>
        <w:tc>
          <w:tcPr>
            <w:tcW w:w="342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color w:val="0D0D0D"/>
                <w:szCs w:val="20"/>
                <w:lang w:val="en-GB" w:eastAsia="en-GB"/>
              </w:rPr>
              <w:t>ON TIME</w:t>
              <w:tab/>
              <w:t>/</w:t>
              <w:tab/>
              <w:t>LATE</w:t>
            </w:r>
          </w:p>
        </w:tc>
      </w:tr>
      <w:tr>
        <w:trPr>
          <w:trHeight w:val="2198"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Learner declaration:</w:t>
            </w:r>
          </w:p>
          <w:p>
            <w:pPr>
              <w:pStyle w:val="Normal"/>
              <w:widowControl w:val="false"/>
              <w:numPr>
                <w:ilvl w:val="0"/>
                <w:numId w:val="2"/>
              </w:numPr>
              <w:ind w:left="360" w:hanging="327"/>
              <w:rPr>
                <w:lang w:val="en-GB"/>
              </w:rPr>
            </w:pPr>
            <w:r>
              <w:rPr>
                <w:rFonts w:eastAsia="Times New Roman" w:cs="Times New Roman" w:ascii="Arial" w:hAnsi="Arial"/>
                <w:szCs w:val="22"/>
                <w:lang w:val="en-GB" w:eastAsia="en-GB"/>
              </w:rPr>
              <w:t>The explanations and evaluations in this work have been developed and written by me.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submitted material copied from the Internet, text books or other sources in place of my own thinking and writing.</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When I have referred to the work of others I have done so to discuss, comment on or argue their ideas.</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kept quotation and paraphrasing to an absolute minimum and only to support points I have made.</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 xml:space="preserve">I understand that referencing the names of authors whose ideas I have used without including my own interpretation of those ideas, does not meet the assessment criteria </w:t>
            </w:r>
          </w:p>
          <w:p>
            <w:pPr>
              <w:pStyle w:val="Normal"/>
              <w:widowControl w:val="false"/>
              <w:numPr>
                <w:ilvl w:val="0"/>
                <w:numId w:val="3"/>
              </w:numPr>
              <w:ind w:left="360" w:hanging="327"/>
              <w:rPr>
                <w:lang w:val="en-GB"/>
              </w:rPr>
            </w:pPr>
            <w:r>
              <w:rPr>
                <w:rFonts w:eastAsia="Times New Roman" w:cs="Times New Roman" w:ascii="Arial" w:hAnsi="Arial"/>
                <w:szCs w:val="22"/>
                <w:lang w:val="en-GB" w:eastAsia="en-GB"/>
              </w:rPr>
              <w:t>I have not copied the work of my peers.</w:t>
            </w:r>
          </w:p>
        </w:tc>
      </w:tr>
      <w:tr>
        <w:trPr>
          <w:trHeight w:val="1301" w:hRule="atLeast"/>
          <w:cantSplit w:val="true"/>
        </w:trPr>
        <w:tc>
          <w:tcPr>
            <w:tcW w:w="1031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lang w:val="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8"/>
                <w:szCs w:val="22"/>
                <w:lang w:val="en-GB" w:eastAsia="en-GB"/>
              </w:rPr>
              <w:t>(please use this space to comment on any aspect of the assignment when handing in your work)</w:t>
            </w:r>
          </w:p>
        </w:tc>
      </w:tr>
      <w:tr>
        <w:trPr>
          <w:trHeight w:val="445" w:hRule="atLeast"/>
          <w:cantSplit w:val="true"/>
        </w:trPr>
        <w:tc>
          <w:tcPr>
            <w:tcW w:w="527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Signature:</w:t>
            </w:r>
          </w:p>
        </w:tc>
        <w:tc>
          <w:tcPr>
            <w:tcW w:w="50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b/>
                <w:sz w:val="22"/>
                <w:szCs w:val="22"/>
                <w:lang w:val="en-GB" w:eastAsia="en-GB"/>
              </w:rPr>
              <w:t xml:space="preserve">Date:  </w:t>
            </w:r>
          </w:p>
        </w:tc>
      </w:tr>
    </w:tbl>
    <w:p>
      <w:pPr>
        <w:pStyle w:val="Normal"/>
        <w:rPr>
          <w:rFonts w:ascii="Arial" w:hAnsi="Arial" w:eastAsia="Times New Roman" w:cs="Times New Roman"/>
          <w:b/>
          <w:sz w:val="18"/>
          <w:szCs w:val="20"/>
          <w:lang w:val="en-GB" w:eastAsia="en-GB"/>
        </w:rPr>
      </w:pPr>
      <w:r>
        <w:rPr>
          <w:rFonts w:eastAsia="Times New Roman" w:cs="Times New Roman"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jc w:val="center"/>
        <w:rPr>
          <w:lang w:val="en-GB"/>
        </w:rPr>
      </w:pPr>
      <w:r>
        <w:rPr>
          <w:rFonts w:eastAsia="Times New Roman" w:cs="Arial" w:ascii="Arial" w:hAnsi="Arial"/>
          <w:b/>
          <w:sz w:val="18"/>
          <w:szCs w:val="20"/>
          <w:lang w:val="en-GB" w:eastAsia="en-GB"/>
        </w:rPr>
        <w:t>YOUR WORK CANNOT BE ASSESSED UNLESS YOU HAVE SIGNED AND SUBMITTED THIS FORM</w:t>
      </w:r>
    </w:p>
    <w:p>
      <w:pPr>
        <w:pStyle w:val="Normal"/>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59"/>
        <w:gridCol w:w="3977"/>
        <w:gridCol w:w="5135"/>
      </w:tblGrid>
      <w:tr>
        <w:trPr>
          <w:trHeight w:val="441" w:hRule="atLeast"/>
        </w:trPr>
        <w:tc>
          <w:tcPr>
            <w:tcW w:w="115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lang w:val="en-GB"/>
              </w:rPr>
            </w:pPr>
            <w:r>
              <w:rPr>
                <w:rFonts w:eastAsia="Times New Roman" w:cs="Times New Roman" w:ascii="Arial" w:hAnsi="Arial"/>
                <w:b/>
                <w:color w:val="000000"/>
                <w:szCs w:val="20"/>
                <w:lang w:val="en-GB" w:eastAsia="en-GB"/>
              </w:rPr>
              <w:t>Level 3</w:t>
            </w:r>
          </w:p>
        </w:tc>
        <w:tc>
          <w:tcPr>
            <w:tcW w:w="9112"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 w:val="24"/>
                <w:szCs w:val="28"/>
                <w:lang w:val="en-GB" w:eastAsia="en-GB"/>
              </w:rPr>
              <w:t xml:space="preserve">Unit title:  Preparation for Higher Education </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color w:val="000000"/>
                <w:szCs w:val="20"/>
                <w:lang w:val="en-GB"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i/>
                <w:color w:val="000000"/>
                <w:szCs w:val="20"/>
                <w:lang w:val="en-GB"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Cs/>
                <w:i/>
                <w:color w:val="000000"/>
                <w:szCs w:val="20"/>
                <w:lang w:val="en-GB"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lang w:val="en-GB"/>
              </w:rPr>
            </w:pPr>
            <w:r>
              <w:rPr>
                <w:rFonts w:eastAsia="Times New Roman" w:cs="Times New Roman" w:ascii="Arial" w:hAnsi="Arial"/>
                <w:b/>
                <w:color w:val="000000"/>
                <w:szCs w:val="20"/>
                <w:lang w:val="en-GB"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ind w:left="0" w:hanging="0"/>
              <w:outlineLvl w:val="0"/>
              <w:rPr>
                <w:lang w:val="en-GB"/>
              </w:rPr>
            </w:pPr>
            <w:r>
              <w:rPr>
                <w:rFonts w:eastAsia="Times New Roman" w:cs="Times New Roman" w:ascii="Arial" w:hAnsi="Arial"/>
                <w:b/>
                <w:bCs/>
                <w:color w:val="000000"/>
                <w:szCs w:val="20"/>
                <w:lang w:val="en-GB"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8"/>
              </w:numPr>
              <w:rPr/>
            </w:pPr>
            <w:r>
              <w:rPr>
                <w:color w:val="auto"/>
                <w:lang w:val="en-GB"/>
              </w:rPr>
              <w:t>Understand the available progression opportunities.</w:t>
            </w:r>
            <w:r>
              <w:rPr>
                <w:rStyle w:val="Normaltextrun"/>
                <w:color w:val="auto"/>
                <w:lang w:val="en-GB"/>
              </w:rPr>
              <w:t xml:space="preserve">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9"/>
              </w:numPr>
              <w:rPr>
                <w:lang w:val="en-GB"/>
              </w:rPr>
            </w:pPr>
            <w:r>
              <w:rPr>
                <w:color w:val="auto"/>
                <w:lang w:val="en-GB"/>
              </w:rPr>
              <w:t xml:space="preserve">Analyse the different progression routes available.   </w:t>
            </w:r>
          </w:p>
          <w:p>
            <w:pPr>
              <w:pStyle w:val="AssessmentCriteria"/>
              <w:widowControl w:val="false"/>
              <w:numPr>
                <w:ilvl w:val="1"/>
                <w:numId w:val="20"/>
              </w:numPr>
              <w:rPr>
                <w:lang w:val="en-GB"/>
              </w:rPr>
            </w:pPr>
            <w:r>
              <w:rPr>
                <w:color w:val="auto"/>
                <w:lang w:val="en-GB"/>
              </w:rPr>
              <w:t>Differentiate between content of courses at different HE institutions for chosen progression route.</w:t>
            </w:r>
          </w:p>
          <w:p>
            <w:pPr>
              <w:pStyle w:val="AssessmentCriteria"/>
              <w:widowControl w:val="false"/>
              <w:numPr>
                <w:ilvl w:val="1"/>
                <w:numId w:val="21"/>
              </w:numPr>
              <w:rPr>
                <w:lang w:val="en-GB"/>
              </w:rPr>
            </w:pPr>
            <w:r>
              <w:rPr>
                <w:color w:val="auto"/>
                <w:lang w:val="en-GB"/>
              </w:rPr>
              <w:t>Explain the expectations of the chosen career and /or course.</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2"/>
              </w:numPr>
              <w:rPr>
                <w:lang w:val="en-GB"/>
              </w:rPr>
            </w:pPr>
            <w:r>
              <w:rPr>
                <w:color w:val="auto"/>
                <w:lang w:val="en-GB"/>
              </w:rPr>
              <w:t>Understand own skills in relation to chosen progression route.</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3"/>
              </w:numPr>
              <w:rPr>
                <w:lang w:val="en-GB"/>
              </w:rPr>
            </w:pPr>
            <w:r>
              <w:rPr>
                <w:color w:val="auto"/>
                <w:lang w:val="en-GB"/>
              </w:rPr>
              <w:t>Evaluate the relevance of own skills, knowledge, personal qualities and experience to chosen career and / or course.</w:t>
            </w:r>
          </w:p>
          <w:p>
            <w:pPr>
              <w:pStyle w:val="AssessmentCriteria"/>
              <w:widowControl w:val="false"/>
              <w:numPr>
                <w:ilvl w:val="1"/>
                <w:numId w:val="24"/>
              </w:numPr>
              <w:rPr>
                <w:lang w:val="en-GB"/>
              </w:rPr>
            </w:pPr>
            <w:r>
              <w:rPr>
                <w:color w:val="auto"/>
                <w:lang w:val="en-GB"/>
              </w:rPr>
              <w:t>Indicate areas of new learning and challenges for your chosen course and / or career.</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5"/>
              </w:numPr>
              <w:rPr>
                <w:lang w:val="en-GB"/>
              </w:rPr>
            </w:pPr>
            <w:r>
              <w:rPr>
                <w:color w:val="auto"/>
                <w:lang w:val="en-GB"/>
              </w:rPr>
              <w:t>Understand the stages of the application process.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6"/>
              </w:numPr>
              <w:rPr>
                <w:lang w:val="en-GB"/>
              </w:rPr>
            </w:pPr>
            <w:r>
              <w:rPr>
                <w:color w:val="auto"/>
                <w:lang w:val="en-GB"/>
              </w:rPr>
              <w:t>Produce a comprehensive action plan based on research into progression opportunities, which includes a realistic timetable for all stages of the process.</w:t>
            </w:r>
          </w:p>
          <w:p>
            <w:pPr>
              <w:pStyle w:val="AssessmentCriteria"/>
              <w:widowControl w:val="false"/>
              <w:numPr>
                <w:ilvl w:val="1"/>
                <w:numId w:val="27"/>
              </w:numPr>
              <w:rPr>
                <w:lang w:val="en-GB"/>
              </w:rPr>
            </w:pPr>
            <w:r>
              <w:rPr>
                <w:color w:val="auto"/>
                <w:lang w:val="en-GB"/>
              </w:rPr>
              <w:t>Produce a personal statement, or letter of application in support of application.</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28"/>
              </w:numPr>
              <w:rPr>
                <w:lang w:val="en-GB"/>
              </w:rPr>
            </w:pPr>
            <w:r>
              <w:rPr>
                <w:color w:val="auto"/>
                <w:lang w:val="en-GB"/>
              </w:rPr>
              <w:t xml:space="preserve">Know how to prepare for an interview. </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29"/>
              </w:numPr>
              <w:rPr>
                <w:lang w:val="en-GB"/>
              </w:rPr>
            </w:pPr>
            <w:r>
              <w:rPr>
                <w:color w:val="auto"/>
                <w:lang w:val="en-GB"/>
              </w:rPr>
              <w:t xml:space="preserve">Analyse which interview questions are most relevant to your progression route. </w:t>
            </w:r>
          </w:p>
          <w:p>
            <w:pPr>
              <w:pStyle w:val="AssessmentCriteria"/>
              <w:widowControl w:val="false"/>
              <w:numPr>
                <w:ilvl w:val="1"/>
                <w:numId w:val="30"/>
              </w:numPr>
              <w:rPr>
                <w:lang w:val="en-GB"/>
              </w:rPr>
            </w:pPr>
            <w:r>
              <w:rPr>
                <w:color w:val="auto"/>
                <w:lang w:val="en-GB"/>
              </w:rPr>
              <w:t>Evaluate own answers to questions suggesting areas for improvement.</w:t>
            </w:r>
          </w:p>
          <w:p>
            <w:pPr>
              <w:pStyle w:val="Normal"/>
              <w:widowControl w:val="false"/>
              <w:tabs>
                <w:tab w:val="clear" w:pos="720"/>
                <w:tab w:val="left" w:pos="432" w:leader="none"/>
              </w:tabs>
              <w:ind w:left="432" w:hanging="432"/>
              <w:rPr>
                <w:rFonts w:ascii="Arial" w:hAnsi="Arial" w:eastAsia="Times New Roman" w:cs="Arial"/>
                <w:sz w:val="22"/>
                <w:szCs w:val="22"/>
                <w:lang w:val="en-GB"/>
              </w:rPr>
            </w:pPr>
            <w:r>
              <w:rPr>
                <w:rFonts w:eastAsia="Times New Roman" w:cs="Arial" w:ascii="Arial" w:hAnsi="Arial"/>
                <w:sz w:val="22"/>
                <w:szCs w:val="22"/>
                <w:lang w:val="en-GB"/>
              </w:rPr>
            </w:r>
          </w:p>
        </w:tc>
      </w:tr>
    </w:tbl>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19"/>
        <w:gridCol w:w="1136"/>
        <w:gridCol w:w="1430"/>
        <w:gridCol w:w="1404"/>
        <w:gridCol w:w="2409"/>
        <w:gridCol w:w="1155"/>
        <w:gridCol w:w="1377"/>
      </w:tblGrid>
      <w:tr>
        <w:trPr>
          <w:trHeight w:val="583" w:hRule="atLeast"/>
        </w:trPr>
        <w:tc>
          <w:tcPr>
            <w:tcW w:w="10630" w:type="dxa"/>
            <w:gridSpan w:val="7"/>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lang w:val="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719"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AC no</w:t>
            </w:r>
          </w:p>
        </w:tc>
        <w:tc>
          <w:tcPr>
            <w:tcW w:w="1136"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Credit achieved (L3)</w:t>
            </w:r>
          </w:p>
        </w:tc>
        <w:tc>
          <w:tcPr>
            <w:tcW w:w="1430"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Cs w:val="20"/>
                <w:lang w:val="en-GB" w:eastAsia="en-GB"/>
              </w:rPr>
              <w:t>Location of evidence</w:t>
            </w:r>
          </w:p>
        </w:tc>
        <w:tc>
          <w:tcPr>
            <w:tcW w:w="6345" w:type="dxa"/>
            <w:gridSpan w:val="4"/>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lang w:val="en-GB"/>
              </w:rPr>
            </w:pPr>
            <w:r>
              <w:rPr>
                <w:rFonts w:eastAsia="Times New Roman" w:cs="Arial" w:ascii="Arial" w:hAnsi="Arial"/>
                <w:b/>
                <w:sz w:val="22"/>
                <w:szCs w:val="20"/>
                <w:lang w:val="en-GB" w:eastAsia="en-GB"/>
              </w:rPr>
              <w:t>Tutor/Assessor comments on assessment criteria</w:t>
            </w:r>
          </w:p>
          <w:p>
            <w:pPr>
              <w:pStyle w:val="Normal"/>
              <w:widowControl w:val="false"/>
              <w:jc w:val="center"/>
              <w:rPr>
                <w:lang w:val="en-GB"/>
              </w:rPr>
            </w:pPr>
            <w:r>
              <w:rPr>
                <w:rFonts w:eastAsia="Times New Roman" w:cs="Arial" w:ascii="Arial" w:hAnsi="Arial"/>
                <w:i/>
                <w:sz w:val="18"/>
                <w:szCs w:val="20"/>
                <w:lang w:val="en-GB" w:eastAsia="en-GB"/>
              </w:rPr>
              <w:t>(the assessor may also indicate on the work itself where each AC is met)</w:t>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1</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1.3</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2</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2.2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3</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4</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3.2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5</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4.1</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1134" w:hRule="atLeast"/>
        </w:trPr>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4.2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lang w:val="en-GB"/>
              </w:rPr>
            </w:pPr>
            <w:r>
              <w:rPr>
                <w:rFonts w:eastAsia="Times New Roman" w:cs="Times New Roman" w:ascii="Arial" w:hAnsi="Arial"/>
                <w:sz w:val="22"/>
                <w:szCs w:val="22"/>
                <w:lang w:val="en-GB" w:eastAsia="en-GB"/>
              </w:rPr>
              <w:t>Task 6</w:t>
            </w:r>
          </w:p>
        </w:tc>
        <w:tc>
          <w:tcPr>
            <w:tcW w:w="6345"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c>
      </w:tr>
      <w:tr>
        <w:trPr>
          <w:trHeight w:val="429" w:hRule="atLeast"/>
        </w:trPr>
        <w:tc>
          <w:tcPr>
            <w:tcW w:w="17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Level achieved</w:t>
            </w:r>
          </w:p>
        </w:tc>
        <w:tc>
          <w:tcPr>
            <w:tcW w:w="11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2834"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Tutor/Assessor’s signature:</w:t>
            </w:r>
          </w:p>
        </w:tc>
        <w:tc>
          <w:tcPr>
            <w:tcW w:w="2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1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sz w:val="22"/>
                <w:szCs w:val="22"/>
                <w:lang w:val="en-GB" w:eastAsia="en-GB"/>
              </w:rPr>
              <w:t>Date:</w:t>
            </w:r>
          </w:p>
        </w:tc>
        <w:tc>
          <w:tcPr>
            <w:tcW w:w="13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p>
      <w:pPr>
        <w:pStyle w:val="Normal"/>
        <w:rPr>
          <w:rFonts w:ascii="Times New Roman" w:hAnsi="Times New Roman" w:eastAsia="Times New Roman" w:cs="Times New Roman"/>
          <w:szCs w:val="20"/>
          <w:lang w:val="en-GB" w:eastAsia="en-GB"/>
        </w:rPr>
      </w:pPr>
      <w:r>
        <w:rPr>
          <w:rFonts w:eastAsia="Times New Roman" w:cs="Times New Roman" w:ascii="Times New Roman" w:hAnsi="Times New Roman"/>
          <w:szCs w:val="20"/>
          <w:lang w:val="en-GB" w:eastAsia="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19"/>
        <w:gridCol w:w="423"/>
        <w:gridCol w:w="1274"/>
        <w:gridCol w:w="116"/>
        <w:gridCol w:w="1869"/>
        <w:gridCol w:w="2125"/>
        <w:gridCol w:w="1561"/>
        <w:gridCol w:w="313"/>
        <w:gridCol w:w="1230"/>
      </w:tblGrid>
      <w:tr>
        <w:trPr>
          <w:trHeight w:val="659" w:hRule="atLeast"/>
        </w:trPr>
        <w:tc>
          <w:tcPr>
            <w:tcW w:w="10630" w:type="dxa"/>
            <w:gridSpan w:val="9"/>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734"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283" w:hRule="atLeast"/>
        </w:trPr>
        <w:tc>
          <w:tcPr>
            <w:tcW w:w="1719" w:type="dxa"/>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Set:</w:t>
            </w:r>
          </w:p>
        </w:tc>
        <w:tc>
          <w:tcPr>
            <w:tcW w:w="1813" w:type="dxa"/>
            <w:gridSpan w:val="3"/>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69" w:type="dxa"/>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due:</w:t>
            </w:r>
          </w:p>
        </w:tc>
        <w:tc>
          <w:tcPr>
            <w:tcW w:w="2125"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874"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1572" w:hRule="atLeast"/>
        </w:trPr>
        <w:tc>
          <w:tcPr>
            <w:tcW w:w="10630" w:type="dxa"/>
            <w:gridSpan w:val="9"/>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lang w:val="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r>
        <w:trPr>
          <w:trHeight w:val="538" w:hRule="atLeast"/>
        </w:trPr>
        <w:tc>
          <w:tcPr>
            <w:tcW w:w="2142" w:type="dxa"/>
            <w:gridSpan w:val="2"/>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 xml:space="preserve">Level achieved </w:t>
            </w:r>
          </w:p>
          <w:p>
            <w:pPr>
              <w:pStyle w:val="Normal"/>
              <w:widowControl w:val="false"/>
              <w:rPr>
                <w:lang w:val="en-GB"/>
              </w:rPr>
            </w:pPr>
            <w:r>
              <w:rPr>
                <w:rFonts w:eastAsia="Times New Roman" w:cs="Times New Roman" w:ascii="Arial" w:hAnsi="Arial"/>
                <w:b/>
                <w:szCs w:val="20"/>
                <w:lang w:val="en-GB" w:eastAsia="en-GB"/>
              </w:rPr>
              <w:t>after resubmission:</w:t>
            </w:r>
          </w:p>
        </w:tc>
        <w:tc>
          <w:tcPr>
            <w:tcW w:w="1274"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985"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lang w:val="en-GB"/>
              </w:rPr>
            </w:pPr>
            <w:r>
              <w:rPr>
                <w:rFonts w:eastAsia="Times New Roman" w:cs="Times New Roman" w:ascii="Arial" w:hAnsi="Arial"/>
                <w:b/>
                <w:szCs w:val="20"/>
                <w:lang w:val="en-GB" w:eastAsia="en-GB"/>
              </w:rPr>
              <w:t>Tutor/Assessor’s signature:</w:t>
            </w:r>
          </w:p>
        </w:tc>
        <w:tc>
          <w:tcPr>
            <w:tcW w:w="2125" w:type="dxa"/>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c>
          <w:tcPr>
            <w:tcW w:w="1561" w:type="dxa"/>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lang w:val="en-GB"/>
              </w:rPr>
            </w:pPr>
            <w:r>
              <w:rPr>
                <w:rFonts w:eastAsia="Times New Roman" w:cs="Times New Roman" w:ascii="Arial" w:hAnsi="Arial"/>
                <w:b/>
                <w:bCs/>
                <w:color w:val="000000"/>
                <w:szCs w:val="20"/>
                <w:lang w:val="en-GB" w:eastAsia="en-GB"/>
              </w:rPr>
              <w:t>Date:</w:t>
            </w:r>
          </w:p>
        </w:tc>
        <w:tc>
          <w:tcPr>
            <w:tcW w:w="1543" w:type="dxa"/>
            <w:gridSpan w:val="2"/>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szCs w:val="22"/>
                <w:lang w:val="en-GB" w:eastAsia="en-GB"/>
              </w:rPr>
            </w:pPr>
            <w:r>
              <w:rPr>
                <w:rFonts w:eastAsia="Times New Roman" w:cs="Times New Roman" w:ascii="Arial" w:hAnsi="Arial"/>
                <w:sz w:val="22"/>
                <w:szCs w:val="22"/>
                <w:lang w:val="en-GB" w:eastAsia="en-GB"/>
              </w:rPr>
            </w:r>
          </w:p>
        </w:tc>
      </w:tr>
    </w:tbl>
    <w:p>
      <w:pPr>
        <w:pStyle w:val="Normal"/>
        <w:rPr>
          <w:lang w:val="en-GB"/>
        </w:rPr>
      </w:pPr>
      <w:r>
        <w:rPr>
          <w:lang w:val="en-GB"/>
        </w:rPr>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631"/>
      </w:tblGrid>
      <w:tr>
        <w:trPr>
          <w:trHeight w:val="6382" w:hRule="atLeast"/>
        </w:trPr>
        <w:tc>
          <w:tcPr>
            <w:tcW w:w="106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szCs w:val="22"/>
                <w:lang w:val="en-GB" w:eastAsia="en-GB"/>
              </w:rPr>
            </w:pPr>
            <w:r>
              <w:rPr>
                <w:rFonts w:eastAsia="Times New Roman" w:cs="Times New Roman" w:ascii="Arial" w:hAnsi="Arial"/>
                <w:b/>
                <w:color w:val="000000"/>
                <w:sz w:val="22"/>
                <w:szCs w:val="22"/>
                <w:lang w:val="en-GB" w:eastAsia="en-GB"/>
              </w:rPr>
            </w:r>
          </w:p>
          <w:p>
            <w:pPr>
              <w:pStyle w:val="Normal"/>
              <w:widowControl w:val="false"/>
              <w:rPr>
                <w:lang w:val="en-GB"/>
              </w:rPr>
            </w:pPr>
            <w:r>
              <w:rPr>
                <w:rFonts w:eastAsia="Times New Roman" w:cs="Times New Roman" w:ascii="Arial" w:hAnsi="Arial"/>
                <w:b/>
                <w:color w:val="000000"/>
                <w:sz w:val="22"/>
                <w:szCs w:val="22"/>
                <w:lang w:val="en-GB" w:eastAsia="en-GB"/>
              </w:rPr>
              <w:t xml:space="preserve">Tutor/Assessor’s developmental feedback – </w:t>
            </w:r>
            <w:r>
              <w:rPr>
                <w:rFonts w:eastAsia="Times New Roman" w:cs="Times New Roman" w:ascii="Arial" w:hAnsi="Arial"/>
                <w:i/>
                <w:color w:val="000000"/>
                <w:sz w:val="22"/>
                <w:szCs w:val="22"/>
                <w:lang w:val="en-GB" w:eastAsia="en-GB"/>
              </w:rPr>
              <w:t>how will the learner be able to use and improve this study skill on other units and in further study?</w:t>
            </w:r>
          </w:p>
          <w:p>
            <w:pPr>
              <w:pStyle w:val="Normal"/>
              <w:widowControl w:val="false"/>
              <w:rPr>
                <w:rFonts w:ascii="Arial" w:hAnsi="Arial" w:eastAsia="Times New Roman" w:cs="Times New Roman"/>
                <w:color w:val="7030A0"/>
                <w:sz w:val="22"/>
                <w:szCs w:val="22"/>
                <w:lang w:val="en-GB" w:eastAsia="en-GB"/>
              </w:rPr>
            </w:pPr>
            <w:r>
              <w:rPr>
                <w:rFonts w:eastAsia="Times New Roman" w:cs="Times New Roman" w:ascii="Arial" w:hAnsi="Arial"/>
                <w:color w:val="7030A0"/>
                <w:sz w:val="22"/>
                <w:szCs w:val="22"/>
                <w:lang w:val="en-GB" w:eastAsia="en-GB"/>
              </w:rPr>
            </w:r>
          </w:p>
        </w:tc>
      </w:tr>
    </w:tbl>
    <w:p>
      <w:pPr>
        <w:sectPr>
          <w:headerReference w:type="default" r:id="rId2"/>
          <w:footerReference w:type="default" r:id="rId3"/>
          <w:type w:val="nextPage"/>
          <w:pgSz w:w="11906" w:h="16838"/>
          <w:pgMar w:left="1080" w:right="1080" w:gutter="0" w:header="680" w:top="2240" w:footer="850" w:bottom="1440"/>
          <w:pgNumType w:start="1" w:fmt="decimal"/>
          <w:formProt w:val="false"/>
          <w:textDirection w:val="lrTb"/>
          <w:docGrid w:type="default" w:linePitch="360" w:charSpace="0"/>
        </w:sectPr>
      </w:pP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drawing>
          <wp:anchor behindDoc="0" distT="0" distB="0" distL="0" distR="0" simplePos="0" locked="0" layoutInCell="1" allowOverlap="1" relativeHeight="41">
            <wp:simplePos x="0" y="0"/>
            <wp:positionH relativeFrom="column">
              <wp:posOffset>-361950</wp:posOffset>
            </wp:positionH>
            <wp:positionV relativeFrom="paragraph">
              <wp:posOffset>-563880</wp:posOffset>
            </wp:positionV>
            <wp:extent cx="1870075" cy="1028700"/>
            <wp:effectExtent l="0" t="0" r="0" b="0"/>
            <wp:wrapNone/>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1870075" cy="1028700"/>
                    </a:xfrm>
                    <a:prstGeom prst="rect">
                      <a:avLst/>
                    </a:prstGeom>
                  </pic:spPr>
                </pic:pic>
              </a:graphicData>
            </a:graphic>
          </wp:anchor>
        </w:drawing>
      </w:r>
    </w:p>
    <w:p>
      <w:pPr>
        <w:pStyle w:val="Normal"/>
        <w:jc w:val="center"/>
        <w:rPr>
          <w:rFonts w:ascii="Arial" w:hAnsi="Arial" w:eastAsia="Times New Roman" w:cs="Arial"/>
          <w:b/>
          <w:sz w:val="24"/>
          <w:lang w:val="en-GB" w:eastAsia="en-GB"/>
        </w:rPr>
      </w:pPr>
      <w:r>
        <w:rPr>
          <w:rFonts w:eastAsia="Times New Roman" w:cs="Arial" w:ascii="Arial" w:hAnsi="Arial"/>
          <w:b/>
          <w:sz w:val="24"/>
          <w:lang w:val="en-GB" w:eastAsia="en-GB"/>
        </w:rPr>
      </w:r>
    </w:p>
    <w:p>
      <w:pPr>
        <w:sectPr>
          <w:headerReference w:type="default" r:id="rId21"/>
          <w:headerReference w:type="first" r:id="rId22"/>
          <w:footerReference w:type="default" r:id="rId23"/>
          <w:footerReference w:type="first" r:id="rId24"/>
          <w:type w:val="nextPage"/>
          <w:pgSz w:w="11906" w:h="16838"/>
          <w:pgMar w:left="1440" w:right="1440" w:gutter="0" w:header="708" w:top="2224" w:footer="0" w:bottom="1440"/>
          <w:pgNumType w:fmt="decimal"/>
          <w:formProt w:val="false"/>
          <w:textDirection w:val="lrTb"/>
          <w:docGrid w:type="default" w:linePitch="360" w:charSpace="0"/>
        </w:sectPr>
        <w:pStyle w:val="Normal"/>
        <w:spacing w:lineRule="auto" w:line="276" w:before="0" w:after="200"/>
        <w:rPr>
          <w:lang w:val="en-GB"/>
        </w:rPr>
      </w:pPr>
      <w:r>
        <w:rPr>
          <w:lang w:val="en-GB"/>
        </w:rPr>
        <mc:AlternateContent>
          <mc:Choice Requires="wps">
            <w:drawing>
              <wp:anchor behindDoc="0" distT="0" distB="0" distL="0" distR="0" simplePos="0" locked="0" layoutInCell="0" allowOverlap="1" relativeHeight="38" wp14:anchorId="640A44BA">
                <wp:simplePos x="0" y="0"/>
                <wp:positionH relativeFrom="page">
                  <wp:posOffset>428625</wp:posOffset>
                </wp:positionH>
                <wp:positionV relativeFrom="page">
                  <wp:posOffset>7353300</wp:posOffset>
                </wp:positionV>
                <wp:extent cx="6537960" cy="2498725"/>
                <wp:effectExtent l="0" t="0" r="0" b="0"/>
                <wp:wrapNone/>
                <wp:docPr id="4" name="Text Box 15"/>
                <a:graphic xmlns:a="http://schemas.openxmlformats.org/drawingml/2006/main">
                  <a:graphicData uri="http://schemas.microsoft.com/office/word/2010/wordprocessingShape">
                    <wps:wsp>
                      <wps:cNvSpPr/>
                      <wps:spPr>
                        <a:xfrm>
                          <a:off x="0" y="0"/>
                          <a:ext cx="6537960" cy="249876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wps:txbx>
                      <wps:bodyPr lIns="0" tIns="0" anchor="t">
                        <a:prstTxWarp prst="textNoShape"/>
                        <a:noAutofit/>
                      </wps:bodyPr>
                    </wps:wsp>
                  </a:graphicData>
                </a:graphic>
              </wp:anchor>
            </w:drawing>
          </mc:Choice>
          <mc:Fallback>
            <w:pict>
              <v:rect id="shape_0" ID="Text Box 15" path="m0,0l-2147483645,0l-2147483645,-2147483646l0,-2147483646xe" stroked="f" o:allowincell="f" style="position:absolute;margin-left:33.75pt;margin-top:579pt;width:514.75pt;height:196.7pt;mso-wrap-style:square;v-text-anchor:top;mso-position-horizontal-relative:page;mso-position-vertical-relative:page" wp14:anchorId="640A44BA">
                <v:fill o:detectmouseclick="t" on="false"/>
                <v:stroke color="#3465a4" joinstyle="round" endcap="flat"/>
                <v:textbox>
                  <w:txbxContent>
                    <w:p>
                      <w:pPr>
                        <w:pStyle w:val="FrameContents"/>
                        <w:rPr>
                          <w:lang w:val="en-GB"/>
                        </w:rPr>
                      </w:pPr>
                      <w:r>
                        <w:rPr>
                          <w:rFonts w:ascii="Corbel" w:hAnsi="Corbel"/>
                          <w:b/>
                          <w:bCs/>
                          <w:color w:val="7030A0"/>
                          <w:sz w:val="100"/>
                          <w:szCs w:val="100"/>
                          <w:lang w:val="en-GB"/>
                        </w:rPr>
                        <w:t>Preparation for Higher Education Workbook</w:t>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rFonts w:ascii="Corbel" w:hAnsi="Corbel"/>
                          <w:b/>
                          <w:bCs/>
                          <w:color w:val="E7E6E6" w:themeColor="background2"/>
                          <w:sz w:val="24"/>
                          <w:lang w:val="en-GB"/>
                        </w:rPr>
                      </w:pPr>
                      <w:r>
                        <w:rPr>
                          <w:rFonts w:ascii="Corbel" w:hAnsi="Corbel"/>
                          <w:b/>
                          <w:bCs/>
                          <w:color w:val="E7E6E6" w:themeColor="background2"/>
                          <w:sz w:val="24"/>
                          <w:lang w:val="en-GB"/>
                        </w:rPr>
                      </w:r>
                    </w:p>
                    <w:p>
                      <w:pPr>
                        <w:pStyle w:val="FrameContents"/>
                        <w:rPr>
                          <w:lang w:val="en-GB"/>
                        </w:rPr>
                      </w:pPr>
                      <w:r>
                        <w:rPr>
                          <w:rFonts w:ascii="Corbel" w:hAnsi="Corbel"/>
                          <w:b/>
                          <w:bCs/>
                          <w:color w:val="44546A" w:themeColor="text2"/>
                          <w:sz w:val="48"/>
                          <w:szCs w:val="48"/>
                          <w:lang w:val="en-GB"/>
                        </w:rPr>
                        <w:t>Learner name: ………………………………………</w:t>
                      </w:r>
                    </w:p>
                  </w:txbxContent>
                </v:textbox>
                <w10:wrap type="none"/>
              </v:rect>
            </w:pict>
          </mc:Fallback>
        </mc:AlternateContent>
        <mc:AlternateContent>
          <mc:Choice Requires="wpg">
            <w:drawing>
              <wp:anchor behindDoc="0" distT="0" distB="25400" distL="114300" distR="114300" simplePos="0" locked="0" layoutInCell="0" allowOverlap="1" relativeHeight="40" wp14:anchorId="1E124D6F">
                <wp:simplePos x="0" y="0"/>
                <wp:positionH relativeFrom="column">
                  <wp:posOffset>127000</wp:posOffset>
                </wp:positionH>
                <wp:positionV relativeFrom="paragraph">
                  <wp:posOffset>612775</wp:posOffset>
                </wp:positionV>
                <wp:extent cx="5143500" cy="4470400"/>
                <wp:effectExtent l="0" t="0" r="0" b="6350"/>
                <wp:wrapSquare wrapText="bothSides"/>
                <wp:docPr id="5" name="Group 2"/>
                <a:graphic xmlns:a="http://schemas.openxmlformats.org/drawingml/2006/main">
                  <a:graphicData uri="http://schemas.microsoft.com/office/word/2010/wordprocessingGroup">
                    <wpg:wgp>
                      <wpg:cNvGrpSpPr/>
                      <wpg:grpSpPr>
                        <a:xfrm>
                          <a:off x="0" y="0"/>
                          <a:ext cx="5143680" cy="4470480"/>
                          <a:chOff x="0" y="0"/>
                          <a:chExt cx="5143680" cy="4470480"/>
                        </a:xfrm>
                      </wpg:grpSpPr>
                      <pic:pic xmlns:pic="http://schemas.openxmlformats.org/drawingml/2006/picture">
                        <pic:nvPicPr>
                          <pic:cNvPr id="6" name="Picture 6" descr=""/>
                          <pic:cNvPicPr/>
                        </pic:nvPicPr>
                        <pic:blipFill>
                          <a:blip r:embed="rId5"/>
                          <a:stretch/>
                        </pic:blipFill>
                        <pic:spPr>
                          <a:xfrm>
                            <a:off x="1663560" y="1346040"/>
                            <a:ext cx="2044800" cy="2082960"/>
                          </a:xfrm>
                          <a:prstGeom prst="rect">
                            <a:avLst/>
                          </a:prstGeom>
                          <a:ln w="0">
                            <a:noFill/>
                          </a:ln>
                        </pic:spPr>
                      </pic:pic>
                      <pic:pic xmlns:pic="http://schemas.openxmlformats.org/drawingml/2006/picture">
                        <pic:nvPicPr>
                          <pic:cNvPr id="7" name="Picture 7" descr=""/>
                          <pic:cNvPicPr/>
                        </pic:nvPicPr>
                        <pic:blipFill>
                          <a:blip r:embed="rId6"/>
                          <a:stretch/>
                        </pic:blipFill>
                        <pic:spPr>
                          <a:xfrm>
                            <a:off x="3799800" y="3279240"/>
                            <a:ext cx="581760" cy="1013400"/>
                          </a:xfrm>
                          <a:prstGeom prst="rect">
                            <a:avLst/>
                          </a:prstGeom>
                          <a:ln w="0">
                            <a:noFill/>
                          </a:ln>
                        </pic:spPr>
                      </pic:pic>
                      <pic:pic xmlns:pic="http://schemas.openxmlformats.org/drawingml/2006/picture">
                        <pic:nvPicPr>
                          <pic:cNvPr id="8" name="Picture 8" descr=""/>
                          <pic:cNvPicPr/>
                        </pic:nvPicPr>
                        <pic:blipFill>
                          <a:blip r:embed="rId7"/>
                          <a:stretch/>
                        </pic:blipFill>
                        <pic:spPr>
                          <a:xfrm>
                            <a:off x="4168080" y="1727280"/>
                            <a:ext cx="975240" cy="1130400"/>
                          </a:xfrm>
                          <a:prstGeom prst="rect">
                            <a:avLst/>
                          </a:prstGeom>
                          <a:ln w="0">
                            <a:noFill/>
                          </a:ln>
                        </pic:spPr>
                      </pic:pic>
                      <pic:pic xmlns:pic="http://schemas.openxmlformats.org/drawingml/2006/picture">
                        <pic:nvPicPr>
                          <pic:cNvPr id="9" name="Picture 9" descr=""/>
                          <pic:cNvPicPr/>
                        </pic:nvPicPr>
                        <pic:blipFill>
                          <a:blip r:embed="rId8"/>
                          <a:stretch/>
                        </pic:blipFill>
                        <pic:spPr>
                          <a:xfrm>
                            <a:off x="0" y="533520"/>
                            <a:ext cx="1267560" cy="1051560"/>
                          </a:xfrm>
                          <a:prstGeom prst="rect">
                            <a:avLst/>
                          </a:prstGeom>
                          <a:ln w="0">
                            <a:noFill/>
                          </a:ln>
                        </pic:spPr>
                      </pic:pic>
                      <pic:pic xmlns:pic="http://schemas.openxmlformats.org/drawingml/2006/picture">
                        <pic:nvPicPr>
                          <pic:cNvPr id="10" name="Picture 10" descr=""/>
                          <pic:cNvPicPr/>
                        </pic:nvPicPr>
                        <pic:blipFill>
                          <a:blip r:embed="rId9"/>
                          <a:stretch/>
                        </pic:blipFill>
                        <pic:spPr>
                          <a:xfrm>
                            <a:off x="3621960" y="431640"/>
                            <a:ext cx="1000800" cy="911880"/>
                          </a:xfrm>
                          <a:prstGeom prst="rect">
                            <a:avLst/>
                          </a:prstGeom>
                          <a:ln w="0">
                            <a:noFill/>
                          </a:ln>
                        </pic:spPr>
                      </pic:pic>
                      <pic:pic xmlns:pic="http://schemas.openxmlformats.org/drawingml/2006/picture">
                        <pic:nvPicPr>
                          <pic:cNvPr id="11" name="Picture 11" descr=""/>
                          <pic:cNvPicPr/>
                        </pic:nvPicPr>
                        <pic:blipFill>
                          <a:blip r:embed="rId10"/>
                          <a:stretch/>
                        </pic:blipFill>
                        <pic:spPr>
                          <a:xfrm>
                            <a:off x="0" y="2364840"/>
                            <a:ext cx="1203840" cy="911880"/>
                          </a:xfrm>
                          <a:prstGeom prst="rect">
                            <a:avLst/>
                          </a:prstGeom>
                          <a:ln w="0">
                            <a:noFill/>
                          </a:ln>
                        </pic:spPr>
                      </pic:pic>
                      <pic:pic xmlns:pic="http://schemas.openxmlformats.org/drawingml/2006/picture">
                        <pic:nvPicPr>
                          <pic:cNvPr id="12" name="Picture 12" descr=""/>
                          <pic:cNvPicPr/>
                        </pic:nvPicPr>
                        <pic:blipFill>
                          <a:blip r:embed="rId11"/>
                          <a:stretch/>
                        </pic:blipFill>
                        <pic:spPr>
                          <a:xfrm>
                            <a:off x="1905120" y="0"/>
                            <a:ext cx="952560" cy="950040"/>
                          </a:xfrm>
                          <a:prstGeom prst="rect">
                            <a:avLst/>
                          </a:prstGeom>
                          <a:ln w="0">
                            <a:noFill/>
                          </a:ln>
                        </pic:spPr>
                      </pic:pic>
                      <pic:pic xmlns:pic="http://schemas.openxmlformats.org/drawingml/2006/picture">
                        <pic:nvPicPr>
                          <pic:cNvPr id="13" name="Picture 14" descr=""/>
                          <pic:cNvPicPr/>
                        </pic:nvPicPr>
                        <pic:blipFill>
                          <a:blip r:embed="rId12"/>
                          <a:stretch/>
                        </pic:blipFill>
                        <pic:spPr>
                          <a:xfrm>
                            <a:off x="1143000" y="3533040"/>
                            <a:ext cx="1153080" cy="937440"/>
                          </a:xfrm>
                          <a:prstGeom prst="rect">
                            <a:avLst/>
                          </a:prstGeom>
                          <a:ln w="0">
                            <a:noFill/>
                          </a:ln>
                        </pic:spPr>
                      </pic:pic>
                    </wpg:wgp>
                  </a:graphicData>
                </a:graphic>
              </wp:anchor>
            </w:drawing>
          </mc:Choice>
          <mc:Fallback>
            <w:pict>
              <v:group id="shape_0" alt="Group 2" style="position:absolute;margin-left:10pt;margin-top:48.25pt;width:405pt;height:352pt" coordorigin="200,965" coordsize="8100,7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o:allowincell="f" style="position:absolute;left:2820;top:3085;width:3219;height:3279;mso-wrap-style:none;v-text-anchor:middle" type="_x0000_t75">
                  <v:imagedata r:id="rId13" o:detectmouseclick="t"/>
                  <v:stroke color="#3465a4" joinstyle="round" endcap="flat"/>
                  <w10:wrap type="square"/>
                </v:shape>
                <v:shape id="shape_0" ID="Picture 7" stroked="f" o:allowincell="f" style="position:absolute;left:6184;top:6129;width:915;height:1595;mso-wrap-style:none;v-text-anchor:middle" type="_x0000_t75">
                  <v:imagedata r:id="rId14" o:detectmouseclick="t"/>
                  <v:stroke color="#3465a4" joinstyle="round" endcap="flat"/>
                  <w10:wrap type="square"/>
                </v:shape>
                <v:shape id="shape_0" ID="Picture 8" stroked="f" o:allowincell="f" style="position:absolute;left:6764;top:3685;width:1535;height:1779;mso-wrap-style:none;v-text-anchor:middle" type="_x0000_t75">
                  <v:imagedata r:id="rId15" o:detectmouseclick="t"/>
                  <v:stroke color="#3465a4" joinstyle="round" endcap="flat"/>
                  <w10:wrap type="square"/>
                </v:shape>
                <v:shape id="shape_0" ID="Picture 9" stroked="f" o:allowincell="f" style="position:absolute;left:200;top:1805;width:1995;height:1655;mso-wrap-style:none;v-text-anchor:middle" type="_x0000_t75">
                  <v:imagedata r:id="rId16" o:detectmouseclick="t"/>
                  <v:stroke color="#3465a4" joinstyle="round" endcap="flat"/>
                  <w10:wrap type="square"/>
                </v:shape>
                <v:shape id="shape_0" ID="Picture 10" stroked="f" o:allowincell="f" style="position:absolute;left:5904;top:1645;width:1575;height:1435;mso-wrap-style:none;v-text-anchor:middle" type="_x0000_t75">
                  <v:imagedata r:id="rId17" o:detectmouseclick="t"/>
                  <v:stroke color="#3465a4" joinstyle="round" endcap="flat"/>
                  <w10:wrap type="square"/>
                </v:shape>
                <v:shape id="shape_0" ID="Picture 11" stroked="f" o:allowincell="f" style="position:absolute;left:200;top:4689;width:1895;height:1435;mso-wrap-style:none;v-text-anchor:middle" type="_x0000_t75">
                  <v:imagedata r:id="rId18" o:detectmouseclick="t"/>
                  <v:stroke color="#3465a4" joinstyle="round" endcap="flat"/>
                  <w10:wrap type="square"/>
                </v:shape>
                <v:shape id="shape_0" ID="Picture 12" stroked="f" o:allowincell="f" style="position:absolute;left:3200;top:965;width:1499;height:1495;mso-wrap-style:none;v-text-anchor:middle" type="_x0000_t75">
                  <v:imagedata r:id="rId19" o:detectmouseclick="t"/>
                  <v:stroke color="#3465a4" joinstyle="round" endcap="flat"/>
                  <w10:wrap type="square"/>
                </v:shape>
                <v:shape id="shape_0" ID="Picture 14" stroked="f" o:allowincell="f" style="position:absolute;left:2000;top:6529;width:1815;height:1475;mso-wrap-style:none;v-text-anchor:middle" type="_x0000_t75">
                  <v:imagedata r:id="rId20" o:detectmouseclick="t"/>
                  <v:stroke color="#3465a4" joinstyle="round" endcap="flat"/>
                  <w10:wrap type="square"/>
                </v:shape>
              </v:group>
            </w:pict>
          </mc:Fallback>
        </mc:AlternateContent>
      </w:r>
      <w:r>
        <w:br w:type="page"/>
      </w:r>
    </w:p>
    <w:p>
      <w:pPr>
        <w:pStyle w:val="Normal"/>
        <w:rPr>
          <w:rFonts w:ascii="Arial" w:hAnsi="Arial" w:eastAsia="Times New Roman" w:cs="Arial"/>
          <w:b/>
          <w:sz w:val="24"/>
          <w:lang w:val="en-GB" w:eastAsia="en-GB"/>
        </w:rPr>
      </w:pPr>
      <w:r>
        <w:rPr>
          <w:rFonts w:eastAsia="Times New Roman" w:cs="Arial" w:ascii="Arial" w:hAnsi="Arial"/>
          <w:b/>
          <w:sz w:val="24"/>
          <w:lang w:val="en-GB" w:eastAsia="en-GB"/>
        </w:rPr>
      </w:r>
    </w:p>
    <w:p>
      <w:pPr>
        <w:pStyle w:val="Normal"/>
        <w:rPr>
          <w:lang w:val="en-GB"/>
        </w:rPr>
      </w:pPr>
      <w:r>
        <w:rPr>
          <w:rFonts w:cs="Arial" w:ascii="Arial" w:hAnsi="Arial"/>
          <w:b/>
          <w:bCs/>
          <w:lang w:val="en-GB"/>
        </w:rPr>
        <w:t xml:space="preserve">Task 1 – Potential courses </w:t>
      </w:r>
      <w:r>
        <w:rPr>
          <w:rFonts w:cs="Arial" w:ascii="Arial" w:hAnsi="Arial"/>
          <w:lang w:val="en-GB"/>
        </w:rPr>
        <w:t xml:space="preserve">(AC 1.1, 1.2) </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Use the table below to assist with identifying the factors that are most relevant to your finalised university choices. These can often be very personal but possible factors for consideration could be, the specific content of the course, course structure, entry requirements, placement locations, work experience, overseas year, geographical location, campus based, rural / urban setting, accommodation, transport links.  </w:t>
      </w:r>
    </w:p>
    <w:p>
      <w:pPr>
        <w:pStyle w:val="Normal"/>
        <w:rPr>
          <w:rFonts w:ascii="Arial" w:hAnsi="Arial" w:cs="Arial"/>
          <w:lang w:val="en-GB"/>
        </w:rPr>
      </w:pPr>
      <w:r>
        <w:rPr>
          <w:rFonts w:cs="Arial" w:ascii="Arial" w:hAnsi="Arial"/>
          <w:lang w:val="en-GB"/>
        </w:rPr>
      </w:r>
    </w:p>
    <w:tbl>
      <w:tblPr>
        <w:tblStyle w:val="TableGrid"/>
        <w:tblW w:w="9891" w:type="dxa"/>
        <w:jc w:val="left"/>
        <w:tblInd w:w="133" w:type="dxa"/>
        <w:tblLayout w:type="fixed"/>
        <w:tblCellMar>
          <w:top w:w="0" w:type="dxa"/>
          <w:left w:w="108" w:type="dxa"/>
          <w:bottom w:w="0" w:type="dxa"/>
          <w:right w:w="108" w:type="dxa"/>
        </w:tblCellMar>
        <w:tblLook w:val="04a0" w:noHBand="0" w:noVBand="1" w:firstColumn="1" w:lastRow="0" w:lastColumn="0" w:firstRow="1"/>
      </w:tblPr>
      <w:tblGrid>
        <w:gridCol w:w="1812"/>
        <w:gridCol w:w="1825"/>
        <w:gridCol w:w="2244"/>
        <w:gridCol w:w="2005"/>
        <w:gridCol w:w="2005"/>
      </w:tblGrid>
      <w:tr>
        <w:trPr>
          <w:trHeight w:val="605" w:hRule="atLeast"/>
        </w:trPr>
        <w:tc>
          <w:tcPr>
            <w:tcW w:w="181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82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&amp; Code</w:t>
            </w:r>
          </w:p>
        </w:tc>
        <w:tc>
          <w:tcPr>
            <w:tcW w:w="2244"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 Content</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Pros</w:t>
            </w:r>
          </w:p>
        </w:tc>
        <w:tc>
          <w:tcPr>
            <w:tcW w:w="2005"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of Bristol</w:t>
            </w:r>
          </w:p>
        </w:tc>
        <w:tc>
          <w:tcPr>
            <w:tcW w:w="182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English and Classical Studies (QQ38)</w:t>
            </w:r>
          </w:p>
        </w:tc>
        <w:tc>
          <w:tcPr>
            <w:tcW w:w="2244"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Allows students to study Old English, Latin and Ancient Greek as well as literature from the ancient world to present and the societies that molded them – with the possibility for a semester abroad in the second year. As the degree is broad there is a wide range of subjects for a dissertation (University of Bristol</w:t>
            </w:r>
            <w:r>
              <w:rPr>
                <w:rFonts w:cs="Arial" w:ascii="Arial" w:hAnsi="Arial"/>
                <w:i w:val="false"/>
                <w:iCs w:val="false"/>
                <w:kern w:val="0"/>
                <w:lang w:val="en-GB" w:eastAsia="en-US" w:bidi="ar-SA"/>
              </w:rPr>
              <w:t>, 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Bristol has a reputation for passionately creative people.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Aquire language skills for foreign language teaching.</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As well as the dissertation in the final year an ‘Applied Classics’ project is required where students are encouraged to engage with the public. This allows for real experience to be gained in an otherwise wholly academic field.</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Semester abroad doesn’t include countries where the main language isn’t english.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No year abroad option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Durham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Ancient History and Archaeology (VF14)</w:t>
            </w:r>
          </w:p>
        </w:tc>
        <w:tc>
          <w:tcPr>
            <w:tcW w:w="2244"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astrong focus on fieldwork and archaeology this course aims to examine not only how we view and engage with our past but how ancient societies thought about what had come before them. A focus on art and literature makes this course more similar to pure Classics but also allows for students brand new to Ancient Greece and Rome to learn their languages (</w:t>
            </w:r>
            <w:r>
              <w:rPr>
                <w:rFonts w:cs="Arial" w:ascii="Arial" w:hAnsi="Arial"/>
                <w:i w:val="false"/>
                <w:iCs w:val="false"/>
                <w:kern w:val="0"/>
                <w:lang w:val="en-GB" w:eastAsia="en-US" w:bidi="ar-SA"/>
              </w:rPr>
              <w:t>Durham University</w:t>
            </w:r>
            <w:r>
              <w:rPr>
                <w:rFonts w:cs="Arial" w:ascii="Arial" w:hAnsi="Arial"/>
                <w:i/>
                <w:iCs/>
                <w:kern w:val="0"/>
                <w:lang w:val="en-GB" w:eastAsia="en-US" w:bidi="ar-SA"/>
              </w:rPr>
              <w:t xml:space="preserve">, </w:t>
            </w:r>
            <w:r>
              <w:rPr>
                <w:rFonts w:cs="Arial" w:ascii="Arial" w:hAnsi="Arial"/>
                <w:kern w:val="0"/>
                <w:lang w:val="en-GB" w:eastAsia="en-US" w:bidi="ar-SA"/>
              </w:rPr>
              <w:t>2023a).</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Can be transferred onto a ‘with Year Abroad’ or ‘with Placement’ pathway during the second year, giving me real world archaeological and linguistic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Durham encourages further study in their prestidgious Classics and Ancient History department (</w:t>
            </w:r>
            <w:r>
              <w:rPr>
                <w:rFonts w:cs="Arial" w:ascii="Arial" w:hAnsi="Arial"/>
                <w:i w:val="false"/>
                <w:iCs w:val="false"/>
                <w:kern w:val="0"/>
                <w:lang w:val="en-GB" w:eastAsia="en-US" w:bidi="ar-SA"/>
              </w:rPr>
              <w:t>Department of Classics and Ancient History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2023b)</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far away from Gloucestershire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 on the linguistic elements of Ancient History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University College London (UCL)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with Study Abroad BA (Q803)</w:t>
            </w:r>
          </w:p>
        </w:tc>
        <w:tc>
          <w:tcPr>
            <w:tcW w:w="2244"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 four year long course with a wide array of options; from Amaric to Architecture. To prepare for the year abroad students study its language alongside their course modules allowing for easier integration with a foreign university. Situated in London, the course uses its location to allow students access to the British Library and Museum, allowing for hands-on learning of ancient art and architecture (</w:t>
            </w:r>
            <w:r>
              <w:rPr>
                <w:rFonts w:cs="Arial" w:ascii="Arial" w:hAnsi="Arial"/>
                <w:i w:val="false"/>
                <w:iCs w:val="false"/>
                <w:kern w:val="0"/>
                <w:lang w:val="en-GB" w:eastAsia="en-US" w:bidi="ar-SA"/>
              </w:rPr>
              <w:t>Classics and the Ancient World BA</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UCL has a focus on diverse and multidisciplinary research.</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Includes a year abroad, allowing students to study in a host European universites.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Close to many unique, world-renowned resources such as the British Libaray and the Institute of Classical Studies.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Doesn’t limit students to only Ancient Greece and Classical Rome but allows them to study a range of classical civilisations (Egypt, Assyria, etc.).</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Living in London is expensive and intense.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competitve university and course.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Ancient language modules are very limited for students who haven’t studied an ancient language before.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5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King’s College London</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Classics and the Ancient World (Q805)</w:t>
            </w:r>
          </w:p>
        </w:tc>
        <w:tc>
          <w:tcPr>
            <w:tcW w:w="2244"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With no compulsory modules, King’s offers probably the most flexible classics and ancient history degree. With the annual Greek play, students with a range of ancient greek ability perform to an audience, allowing for an interesting and direct application of an ancient language. King’s is also opening a center for the Hellenic Foundation for Culture which will allow students more engagement with Greek culture – both within the UK and Greece (King’s College London</w:t>
            </w:r>
            <w:r>
              <w:rPr>
                <w:rFonts w:cs="Arial" w:ascii="Arial" w:hAnsi="Arial"/>
                <w:i w:val="false"/>
                <w:iCs w:val="false"/>
                <w:kern w:val="0"/>
                <w:lang w:val="en-GB" w:eastAsia="en-US" w:bidi="ar-SA"/>
              </w:rPr>
              <w:t xml:space="preserve">, </w:t>
            </w:r>
            <w:r>
              <w:rPr>
                <w:rFonts w:cs="Arial" w:ascii="Arial" w:hAnsi="Arial"/>
                <w:kern w:val="0"/>
                <w:lang w:val="en-GB" w:eastAsia="en-US" w:bidi="ar-SA"/>
              </w:rPr>
              <w:t>2023).</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Students have the option for to travel on an expenses-paid field trip to ancient sites in the mediterranean in either the second or third year.</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Opportunities to attend summer schools in Athens and Rome, as well as excavations in Greece and Italy.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Optional internships and study abroad programmes.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Very limited in scope to Ancient Greece and Classical Rome.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Again, London is inhospitable.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rHeight w:val="1837" w:hRule="atLeast"/>
        </w:trPr>
        <w:tc>
          <w:tcPr>
            <w:tcW w:w="181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Cardiff University</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182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Archaeology and Ancient History (VVC4)</w:t>
            </w:r>
          </w:p>
        </w:tc>
        <w:tc>
          <w:tcPr>
            <w:tcW w:w="2244"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This course allows for an expansive overview of ancient history, with a more practical aspect compared to a classics or classical studies degree. In the second year students are given the independence to produce a vlog post and project around a specific archaeological topic, under the guidance of a supervisor, allowing students to be creative with their study while building research skills for their dissertation (</w:t>
            </w:r>
            <w:r>
              <w:rPr>
                <w:rFonts w:cs="Arial" w:ascii="Arial" w:hAnsi="Arial"/>
                <w:i w:val="false"/>
                <w:iCs w:val="false"/>
                <w:kern w:val="0"/>
                <w:lang w:val="en-GB" w:eastAsia="en-US" w:bidi="ar-SA"/>
              </w:rPr>
              <w:t>Cardiff University</w:t>
            </w:r>
            <w:r>
              <w:rPr>
                <w:rFonts w:cs="Arial" w:ascii="Arial" w:hAnsi="Arial"/>
                <w:i/>
                <w:iCs/>
                <w:kern w:val="0"/>
                <w:lang w:val="en-GB" w:eastAsia="en-US" w:bidi="ar-SA"/>
              </w:rPr>
              <w:t xml:space="preserve">, </w:t>
            </w:r>
            <w:r>
              <w:rPr>
                <w:rFonts w:cs="Arial" w:ascii="Arial" w:hAnsi="Arial"/>
                <w:i w:val="false"/>
                <w:iCs w:val="false"/>
                <w:kern w:val="0"/>
                <w:lang w:val="en-GB" w:eastAsia="en-US" w:bidi="ar-SA"/>
              </w:rPr>
              <w:t>2023).</w:t>
            </w:r>
          </w:p>
        </w:tc>
        <w:tc>
          <w:tcPr>
            <w:tcW w:w="2005" w:type="dxa"/>
            <w:tcBorders/>
          </w:tcPr>
          <w:p>
            <w:pPr>
              <w:pStyle w:val="Normal"/>
              <w:widowControl w:val="false"/>
              <w:suppressAutoHyphens w:val="true"/>
              <w:spacing w:before="0" w:after="0"/>
              <w:jc w:val="left"/>
              <w:rPr>
                <w:lang w:val="en-GB"/>
              </w:rPr>
            </w:pPr>
            <w:r>
              <w:rPr>
                <w:rFonts w:cs="Arial" w:ascii="Arial" w:hAnsi="Arial"/>
                <w:kern w:val="0"/>
                <w:lang w:val="en-GB" w:eastAsia="en-US" w:bidi="ar-SA"/>
              </w:rPr>
              <w:t>+ Interesting multidisciplinary modules, inculding gender, sexuality and osteoarchaeology (forensic archaeology).</w:t>
            </w:r>
          </w:p>
          <w:p>
            <w:pPr>
              <w:pStyle w:val="Normal"/>
              <w:widowControl w:val="false"/>
              <w:suppressAutoHyphens w:val="true"/>
              <w:spacing w:before="0" w:after="0"/>
              <w:jc w:val="left"/>
              <w:rPr>
                <w:lang w:val="en-GB"/>
              </w:rPr>
            </w:pPr>
            <w:r>
              <w:rPr>
                <w:rFonts w:cs="Arial" w:ascii="Arial" w:hAnsi="Arial"/>
                <w:kern w:val="0"/>
                <w:lang w:val="en-GB" w:eastAsia="en-US" w:bidi="ar-SA"/>
              </w:rPr>
              <w:t>+ Includes a four week long practical placement on an excavation, museum, labaratory project or archival position.</w:t>
            </w:r>
          </w:p>
          <w:p>
            <w:pPr>
              <w:pStyle w:val="Normal"/>
              <w:widowControl w:val="false"/>
              <w:suppressAutoHyphens w:val="true"/>
              <w:spacing w:before="0" w:after="0"/>
              <w:jc w:val="left"/>
              <w:rPr>
                <w:lang w:val="en-GB"/>
              </w:rPr>
            </w:pPr>
            <w:r>
              <w:rPr>
                <w:lang w:val="en-GB"/>
              </w:rPr>
            </w:r>
          </w:p>
          <w:p>
            <w:pPr>
              <w:pStyle w:val="Normal"/>
              <w:widowControl w:val="false"/>
              <w:suppressAutoHyphens w:val="true"/>
              <w:spacing w:before="0" w:after="0"/>
              <w:jc w:val="left"/>
              <w:rPr>
                <w:lang w:val="en-GB"/>
              </w:rPr>
            </w:pPr>
            <w:r>
              <w:rPr>
                <w:rFonts w:cs="Arial" w:ascii="Arial" w:hAnsi="Arial"/>
                <w:kern w:val="0"/>
                <w:lang w:val="en-GB" w:eastAsia="en-US" w:bidi="ar-SA"/>
              </w:rPr>
              <w:t>+Study abroad options avaliable for many European universities.</w:t>
            </w:r>
          </w:p>
        </w:tc>
        <w:tc>
          <w:tcPr>
            <w:tcW w:w="2005"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Less focused on language and literature.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Cardiff has a small ancient history department compared to other universities.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t xml:space="preserve">- Very few institutions around Cardiff that support Classical research. </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of Bristol (2023) </w:t>
      </w:r>
      <w:r>
        <w:rPr>
          <w:rFonts w:cs="Arial" w:ascii="Arial" w:hAnsi="Arial"/>
          <w:i/>
          <w:iCs/>
          <w:lang w:val="en-GB"/>
        </w:rPr>
        <w:t xml:space="preserve">Programme structure: English and Classical Studies (BA) for 2024/25 entry </w:t>
      </w:r>
      <w:r>
        <w:rPr>
          <w:rFonts w:cs="Arial" w:ascii="Arial" w:hAnsi="Arial"/>
          <w:i w:val="false"/>
          <w:iCs w:val="false"/>
          <w:lang w:val="en-GB"/>
        </w:rPr>
        <w:t xml:space="preserve">cohort. Available at: </w:t>
      </w:r>
      <w:r>
        <w:rPr>
          <w:rFonts w:cs="Arial" w:ascii="Arial" w:hAnsi="Arial"/>
          <w:lang w:val="en-GB"/>
        </w:rPr>
        <w:t xml:space="preserve"> </w:t>
      </w:r>
      <w:hyperlink r:id="rId25">
        <w:r>
          <w:rPr>
            <w:rStyle w:val="InternetLink"/>
            <w:rFonts w:cs="Arial" w:ascii="Arial" w:hAnsi="Arial"/>
            <w:lang w:val="en-GB"/>
          </w:rPr>
          <w:t>https://www.bris.ac.uk/unit-programme-catalogue/RouteStructureCohort.jsa?byCohort=24%2F25&amp;byCohort=Y&amp;selectedCatalogue=PROGRAMME&amp;orgCode=ENGL&amp;programmeCode=1ENGL006U</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Durham University (2023a) </w:t>
      </w:r>
      <w:r>
        <w:rPr>
          <w:rFonts w:cs="Arial" w:ascii="Arial" w:hAnsi="Arial"/>
          <w:i/>
          <w:iCs/>
          <w:lang w:val="en-GB"/>
        </w:rPr>
        <w:t>Ancient History and Archaeology.</w:t>
      </w:r>
      <w:r>
        <w:rPr>
          <w:rFonts w:cs="Arial" w:ascii="Arial" w:hAnsi="Arial"/>
          <w:lang w:val="en-GB"/>
        </w:rPr>
        <w:t xml:space="preserve"> Avaliable at: </w:t>
      </w:r>
      <w:r>
        <w:fldChar w:fldCharType="begin"/>
      </w:r>
      <w:r>
        <w:rPr>
          <w:rStyle w:val="InternetLink"/>
          <w:rFonts w:cs="Arial" w:ascii="Arial" w:hAnsi="Arial"/>
          <w:lang w:val="en-GB"/>
        </w:rPr>
        <w:instrText xml:space="preserve"> HYPERLINK "https://www.durham.ac.uk/study/courses/ancient-history-and-archaeology-vf14/" \l "course-details"</w:instrText>
      </w:r>
      <w:r>
        <w:rPr>
          <w:rStyle w:val="InternetLink"/>
          <w:rFonts w:cs="Arial" w:ascii="Arial" w:hAnsi="Arial"/>
          <w:lang w:val="en-GB"/>
        </w:rPr>
        <w:fldChar w:fldCharType="separate"/>
      </w:r>
      <w:r>
        <w:rPr>
          <w:rStyle w:val="InternetLink"/>
          <w:rFonts w:cs="Arial" w:ascii="Arial" w:hAnsi="Arial"/>
          <w:lang w:val="en-GB"/>
        </w:rPr>
        <w:t>https://www.durham.ac.uk/study/courses/ancient-history-and-archaeology-vf14</w:t>
      </w:r>
      <w:r>
        <w:rPr>
          <w:rStyle w:val="InternetLink"/>
          <w:rFonts w:cs="Arial" w:ascii="Arial" w:hAnsi="Arial"/>
          <w:lang w:val="en-GB"/>
        </w:rPr>
        <w:fldChar w:fldCharType="end"/>
      </w:r>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Durham University</w:t>
      </w:r>
      <w:r>
        <w:rPr>
          <w:rFonts w:cs="Arial" w:ascii="Arial" w:hAnsi="Arial"/>
          <w:i/>
          <w:iCs/>
          <w:lang w:val="en-GB"/>
        </w:rPr>
        <w:t xml:space="preserve"> </w:t>
      </w:r>
      <w:r>
        <w:rPr>
          <w:rFonts w:cs="Arial" w:ascii="Arial" w:hAnsi="Arial"/>
          <w:i w:val="false"/>
          <w:iCs w:val="false"/>
          <w:lang w:val="en-GB"/>
        </w:rPr>
        <w:t xml:space="preserve">(2023b) </w:t>
      </w:r>
      <w:r>
        <w:rPr>
          <w:rFonts w:cs="Arial" w:ascii="Arial" w:hAnsi="Arial"/>
          <w:i/>
          <w:iCs/>
          <w:lang w:val="en-GB"/>
        </w:rPr>
        <w:t xml:space="preserve">Department of Classics and Ancient History. </w:t>
      </w:r>
      <w:r>
        <w:rPr>
          <w:rFonts w:cs="Arial" w:ascii="Arial" w:hAnsi="Arial"/>
          <w:i w:val="false"/>
          <w:iCs w:val="false"/>
          <w:lang w:val="en-GB"/>
        </w:rPr>
        <w:t>Available</w:t>
      </w:r>
      <w:r>
        <w:rPr>
          <w:rFonts w:cs="Arial" w:ascii="Arial" w:hAnsi="Arial"/>
          <w:lang w:val="en-GB"/>
        </w:rPr>
        <w:t xml:space="preserve"> at: </w:t>
      </w:r>
      <w:hyperlink r:id="rId26">
        <w:r>
          <w:rPr>
            <w:rStyle w:val="InternetLink"/>
            <w:rFonts w:cs="Arial" w:ascii="Arial" w:hAnsi="Arial"/>
            <w:lang w:val="en-GB"/>
          </w:rPr>
          <w:t>https://www.durham.ac.uk/departments/academic/classics-ancient-history/postgraduate-study/</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University College London (2023) </w:t>
      </w:r>
      <w:r>
        <w:rPr>
          <w:rFonts w:cs="Arial" w:ascii="Arial" w:hAnsi="Arial"/>
          <w:i/>
          <w:iCs/>
          <w:lang w:val="en-GB"/>
        </w:rPr>
        <w:t>Classics and the Ancient World BA.</w:t>
      </w:r>
      <w:r>
        <w:rPr>
          <w:rFonts w:cs="Arial" w:ascii="Arial" w:hAnsi="Arial"/>
          <w:i w:val="false"/>
          <w:iCs w:val="false"/>
          <w:lang w:val="en-GB"/>
        </w:rPr>
        <w:t xml:space="preserve"> </w:t>
      </w:r>
      <w:r>
        <w:rPr>
          <w:rFonts w:cs="Arial" w:ascii="Arial" w:hAnsi="Arial"/>
          <w:lang w:val="en-GB"/>
        </w:rPr>
        <w:t xml:space="preserve">Available at: </w:t>
      </w:r>
      <w:hyperlink r:id="rId27">
        <w:r>
          <w:rPr>
            <w:rStyle w:val="InternetLink"/>
            <w:rFonts w:cs="Arial" w:ascii="Arial" w:hAnsi="Arial"/>
            <w:lang w:val="en-GB"/>
          </w:rPr>
          <w:t>https://www.ucl.ac.uk/prospective-students/undergraduate/degrees/classics-and-ancient-world-ba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28">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i w:val="false"/>
          <w:iCs w:val="false"/>
          <w:lang w:val="en-GB"/>
        </w:rPr>
        <w:t>Cardiff University (2023)</w:t>
      </w:r>
      <w:r>
        <w:rPr>
          <w:rFonts w:cs="Arial" w:ascii="Arial" w:hAnsi="Arial"/>
          <w:i/>
          <w:iCs/>
          <w:lang w:val="en-GB"/>
        </w:rPr>
        <w:t xml:space="preserve"> Archaeology and Ancient History (BA)</w:t>
      </w:r>
      <w:r>
        <w:rPr>
          <w:rFonts w:cs="Arial" w:ascii="Arial" w:hAnsi="Arial"/>
          <w:i w:val="false"/>
          <w:iCs w:val="false"/>
          <w:lang w:val="en-GB"/>
        </w:rPr>
        <w:t xml:space="preserve">. </w:t>
      </w:r>
      <w:r>
        <w:rPr>
          <w:rFonts w:cs="Arial" w:ascii="Arial" w:hAnsi="Arial"/>
          <w:lang w:val="en-GB"/>
        </w:rPr>
        <w:t xml:space="preserve">Avaliable at: </w:t>
      </w:r>
      <w:hyperlink r:id="rId29">
        <w:r>
          <w:rPr>
            <w:rStyle w:val="InternetLink"/>
            <w:rFonts w:cs="Arial" w:ascii="Arial" w:hAnsi="Arial"/>
            <w:lang w:val="en-GB"/>
          </w:rPr>
          <w:t>https://www.cardiff.ac.uk/study/undergraduate/courses/course/archaeology-and-ancient-history-ba</w:t>
        </w:r>
      </w:hyperlink>
      <w:r>
        <w:rPr>
          <w:rFonts w:cs="Arial" w:ascii="Arial" w:hAnsi="Arial"/>
          <w:lang w:val="en-GB"/>
        </w:rPr>
        <w:t xml:space="preserve"> (Accessed: 1 October 2023)</w:t>
      </w:r>
    </w:p>
    <w:p>
      <w:pPr>
        <w:pStyle w:val="Normal"/>
        <w:ind w:left="-142" w:hanging="0"/>
        <w:rPr>
          <w:rFonts w:ascii="Arial" w:hAnsi="Arial" w:cs="Arial"/>
          <w:lang w:val="en-GB"/>
        </w:rPr>
      </w:pPr>
      <w:r>
        <w:rPr>
          <w:rFonts w:cs="Arial" w:ascii="Arial" w:hAnsi="Arial"/>
          <w:lang w:val="en-GB"/>
        </w:rPr>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2(a) – Expectations </w:t>
      </w:r>
      <w:r>
        <w:rPr>
          <w:rFonts w:cs="Arial" w:ascii="Arial" w:hAnsi="Arial"/>
          <w:lang w:val="en-GB"/>
        </w:rPr>
        <w:t>(AC 1.3)</w:t>
      </w:r>
    </w:p>
    <w:p>
      <w:pPr>
        <w:pStyle w:val="Normal"/>
        <w:ind w:left="-142" w:hanging="0"/>
        <w:rPr>
          <w:rFonts w:ascii="Arial" w:hAnsi="Arial" w:cs="Arial"/>
          <w:b/>
          <w:bCs/>
          <w:lang w:val="en-GB"/>
        </w:rPr>
      </w:pPr>
      <w:r>
        <w:rPr>
          <w:rFonts w:cs="Arial" w:ascii="Arial" w:hAnsi="Arial"/>
          <w:b/>
          <w:bCs/>
          <w:lang w:val="en-GB"/>
        </w:rPr>
      </w:r>
    </w:p>
    <w:p>
      <w:pPr>
        <w:pStyle w:val="Normal"/>
        <w:ind w:left="-142" w:hanging="0"/>
        <w:rPr>
          <w:lang w:val="en-GB"/>
        </w:rPr>
      </w:pPr>
      <w:r>
        <w:rPr>
          <w:rFonts w:cs="Arial" w:ascii="Arial" w:hAnsi="Arial"/>
          <w:lang w:val="en-GB"/>
        </w:rPr>
        <w:t>Once you have identified the five courses that you are most interested in progressing to, you should now focus on the expectations of the universities and course expectations in terms of your existing qualifications, skills and experience.</w:t>
      </w:r>
    </w:p>
    <w:p>
      <w:pPr>
        <w:pStyle w:val="Normal"/>
        <w:rPr>
          <w:rFonts w:ascii="Arial" w:hAnsi="Arial" w:cs="Arial"/>
          <w:lang w:val="en-GB"/>
        </w:rPr>
      </w:pPr>
      <w:r>
        <w:rPr>
          <w:rFonts w:cs="Arial" w:ascii="Arial" w:hAnsi="Arial"/>
          <w:lang w:val="en-GB"/>
        </w:rPr>
      </w:r>
    </w:p>
    <w:tbl>
      <w:tblPr>
        <w:tblStyle w:val="TableGrid"/>
        <w:tblW w:w="100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6"/>
        <w:gridCol w:w="1716"/>
        <w:gridCol w:w="2016"/>
        <w:gridCol w:w="2298"/>
        <w:gridCol w:w="2448"/>
      </w:tblGrid>
      <w:tr>
        <w:trPr>
          <w:trHeight w:val="1075" w:hRule="atLeast"/>
        </w:trPr>
        <w:tc>
          <w:tcPr>
            <w:tcW w:w="155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University</w:t>
            </w:r>
          </w:p>
        </w:tc>
        <w:tc>
          <w:tcPr>
            <w:tcW w:w="171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Course</w:t>
            </w:r>
          </w:p>
        </w:tc>
        <w:tc>
          <w:tcPr>
            <w:tcW w:w="201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Minimum Expectations</w:t>
            </w:r>
          </w:p>
        </w:tc>
        <w:tc>
          <w:tcPr>
            <w:tcW w:w="229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Which of the course expectations do I meet?</w:t>
            </w:r>
          </w:p>
        </w:tc>
        <w:tc>
          <w:tcPr>
            <w:tcW w:w="244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What do I need to do to meet all the entry expectations?</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Bristol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English and Classical Studies (QQ38)</w:t>
            </w:r>
          </w:p>
        </w:tc>
        <w:tc>
          <w:tcPr>
            <w:tcW w:w="20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HE Diploma in Humanities ... The 45 graded Level 3 credits must include at least 30 credits at Distinction (including 12 from English units) and 15 at Merit or above.’ (</w:t>
            </w:r>
            <w:r>
              <w:rPr>
                <w:rFonts w:cs="Arial" w:ascii="Arial" w:hAnsi="Arial"/>
                <w:b w:val="false"/>
                <w:bCs w:val="false"/>
                <w:i w:val="false"/>
                <w:iCs w:val="false"/>
                <w:kern w:val="0"/>
                <w:lang w:val="en-GB" w:eastAsia="en-US" w:bidi="ar-SA"/>
              </w:rPr>
              <w:t>University of Bristol</w:t>
            </w:r>
            <w:r>
              <w:rPr>
                <w:rFonts w:cs="Arial" w:ascii="Arial" w:hAnsi="Arial"/>
                <w:b w:val="false"/>
                <w:bCs w:val="false"/>
                <w:i/>
                <w:iCs/>
                <w:kern w:val="0"/>
                <w:lang w:val="en-GB" w:eastAsia="en-US" w:bidi="ar-SA"/>
              </w:rPr>
              <w:t xml:space="preserve">, </w:t>
            </w:r>
            <w:r>
              <w:rPr>
                <w:rFonts w:cs="Arial" w:ascii="Arial" w:hAnsi="Arial"/>
                <w:b w:val="false"/>
                <w:bCs w:val="false"/>
                <w:i w:val="false"/>
                <w:iCs w:val="false"/>
                <w:kern w:val="0"/>
                <w:lang w:val="en-GB" w:eastAsia="en-US" w:bidi="ar-SA"/>
              </w:rPr>
              <w:t>2023)</w:t>
            </w:r>
            <w:r>
              <w:rPr>
                <w:rFonts w:cs="Arial" w:ascii="Arial" w:hAnsi="Arial"/>
                <w:b w:val="false"/>
                <w:bCs w:val="false"/>
                <w:kern w:val="0"/>
                <w:lang w:val="en-GB" w:eastAsia="en-US" w:bidi="ar-SA"/>
              </w:rPr>
              <w:t xml:space="preserve"> </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4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Durham University</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Ancient History and Archaeology (VF14)</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20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AAB at A Level (Durham University, 2023) which is equivalent to 136 UCAS points, or 39 credits at Distinction and 6 Credits at Merit (UCAS,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4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39 credits at Distinction and 6 at Merit</w:t>
            </w:r>
          </w:p>
        </w:tc>
      </w:tr>
      <w:tr>
        <w:trPr>
          <w:trHeight w:val="2150"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University College London (UCL)</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with Study Abroad BA (Q803)</w:t>
            </w:r>
          </w:p>
        </w:tc>
        <w:tc>
          <w:tcPr>
            <w:tcW w:w="201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t>‘</w:t>
            </w:r>
            <w:r>
              <w:rPr>
                <w:rFonts w:cs="Arial" w:ascii="Arial" w:hAnsi="Arial"/>
                <w:b w:val="false"/>
                <w:bCs w:val="false"/>
                <w:kern w:val="0"/>
                <w:lang w:val="en-GB" w:eastAsia="en-US" w:bidi="ar-SA"/>
              </w:rPr>
              <w:t>Pass in Access to HE Diploma with a minimum of 30 credits at Distinction and 15 credits at Merit’ (University College London,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4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r>
        <w:trPr>
          <w:trHeight w:val="2127" w:hRule="atLeast"/>
        </w:trPr>
        <w:tc>
          <w:tcPr>
            <w:tcW w:w="155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King’s College London</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17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Classics and the Ancient World (Q805)</w:t>
            </w:r>
          </w:p>
        </w:tc>
        <w:tc>
          <w:tcPr>
            <w:tcW w:w="2016"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w:t>
            </w:r>
            <w:r>
              <w:rPr>
                <w:rFonts w:cs="Arial" w:ascii="Arial" w:hAnsi="Arial"/>
                <w:b w:val="false"/>
                <w:bCs w:val="false"/>
                <w:kern w:val="0"/>
                <w:lang w:val="en-GB" w:eastAsia="en-US" w:bidi="ar-SA"/>
              </w:rPr>
              <w:t>Access to Higher Education Diploma with 45 Level 3 credits overall: 33 credits must be from units awarded at Distinction, with 12 at Merit’ (King’s College London, 2023)</w:t>
            </w:r>
          </w:p>
        </w:tc>
        <w:tc>
          <w:tcPr>
            <w:tcW w:w="229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48" w:type="dxa"/>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33 credits at Distinction and 12 at Merit</w:t>
            </w:r>
          </w:p>
        </w:tc>
      </w:tr>
      <w:tr>
        <w:trPr>
          <w:trHeight w:val="2127" w:hRule="atLeast"/>
        </w:trPr>
        <w:tc>
          <w:tcPr>
            <w:tcW w:w="155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Cardiff University</w:t>
            </w:r>
          </w:p>
        </w:tc>
        <w:tc>
          <w:tcPr>
            <w:tcW w:w="171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Archaeology and Ancient History (VVC4)</w:t>
            </w:r>
          </w:p>
        </w:tc>
        <w:tc>
          <w:tcPr>
            <w:tcW w:w="2016"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ABB-BBB at A Level (Cardiff University, 2023) which is equivalent to 128-120 UCAS points, or 30 credits at Distinction and 15 at Merit to 24 credits at Distinction and 21 at Merit (UCAS, 2023).</w:t>
            </w:r>
          </w:p>
        </w:tc>
        <w:tc>
          <w:tcPr>
            <w:tcW w:w="2298"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None</w:t>
            </w:r>
          </w:p>
        </w:tc>
        <w:tc>
          <w:tcPr>
            <w:tcW w:w="2448" w:type="dxa"/>
            <w:tcBorders>
              <w:top w:val="nil"/>
            </w:tcBorders>
          </w:tcPr>
          <w:p>
            <w:pPr>
              <w:pStyle w:val="Normal"/>
              <w:widowControl w:val="false"/>
              <w:suppressAutoHyphens w:val="true"/>
              <w:spacing w:before="0" w:after="0"/>
              <w:jc w:val="left"/>
              <w:rPr>
                <w:rFonts w:ascii="Arial" w:hAnsi="Arial" w:cs="Arial"/>
                <w:b w:val="false"/>
                <w:bCs w:val="false"/>
                <w:kern w:val="0"/>
                <w:lang w:val="en-GB" w:eastAsia="en-US" w:bidi="ar-SA"/>
              </w:rPr>
            </w:pPr>
            <w:r>
              <w:rPr>
                <w:rFonts w:cs="Arial" w:ascii="Arial" w:hAnsi="Arial"/>
                <w:b w:val="false"/>
                <w:bCs w:val="false"/>
                <w:kern w:val="0"/>
                <w:lang w:val="en-GB" w:eastAsia="en-US" w:bidi="ar-SA"/>
              </w:rPr>
              <w:t>30 credits at Distinction and 15 at Merit</w:t>
            </w:r>
          </w:p>
        </w:tc>
      </w:tr>
    </w:tbl>
    <w:p>
      <w:pPr>
        <w:pStyle w:val="Normal"/>
        <w:rPr>
          <w:rFonts w:ascii="Arial" w:hAnsi="Arial" w:cs="Arial"/>
          <w:lang w:val="en-GB"/>
        </w:rPr>
      </w:pPr>
      <w:r>
        <w:rPr>
          <w:rFonts w:cs="Arial" w:ascii="Arial" w:hAnsi="Arial"/>
          <w:lang w:val="en-GB"/>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Arial" w:hAnsi="Arial" w:cs="Arial"/>
          <w:b w:val="false"/>
          <w:bCs w:val="false"/>
          <w:lang w:val="en-GB"/>
        </w:rPr>
      </w:pPr>
      <w:r>
        <w:rPr>
          <w:rFonts w:cs="Arial" w:ascii="Arial" w:hAnsi="Arial"/>
          <w:b w:val="false"/>
          <w:bCs w:val="false"/>
          <w:i w:val="false"/>
          <w:iCs w:val="false"/>
          <w:lang w:val="en-GB"/>
        </w:rPr>
        <w:t xml:space="preserve">University of Bristol (2023) </w:t>
      </w:r>
      <w:r>
        <w:rPr>
          <w:rFonts w:cs="Arial" w:ascii="Arial" w:hAnsi="Arial"/>
          <w:b w:val="false"/>
          <w:bCs w:val="false"/>
          <w:i/>
          <w:iCs/>
          <w:lang w:val="en-GB"/>
        </w:rPr>
        <w:t xml:space="preserve">BA English and Classical Studies. </w:t>
      </w:r>
      <w:r>
        <w:rPr>
          <w:rFonts w:cs="Arial" w:ascii="Arial" w:hAnsi="Arial"/>
          <w:b w:val="false"/>
          <w:bCs w:val="false"/>
          <w:lang w:val="en-GB"/>
        </w:rPr>
        <w:t xml:space="preserve">Available at: </w:t>
      </w:r>
      <w:hyperlink r:id="rId30">
        <w:r>
          <w:rPr>
            <w:rStyle w:val="InternetLink"/>
            <w:rFonts w:cs="Arial" w:ascii="Arial" w:hAnsi="Arial"/>
            <w:b w:val="false"/>
            <w:bCs w:val="false"/>
            <w:lang w:val="en-GB"/>
          </w:rPr>
          <w:t>https://www.bristol.ac.uk/study/undergraduate/2024/english/ba-english-classical-studies/</w:t>
        </w:r>
      </w:hyperlink>
      <w:r>
        <w:rPr>
          <w:rFonts w:cs="Arial" w:ascii="Arial" w:hAnsi="Arial"/>
          <w:b w:val="false"/>
          <w:bCs w:val="false"/>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t xml:space="preserve">Durham University (2023) </w:t>
      </w:r>
      <w:r>
        <w:rPr>
          <w:rFonts w:cs="Arial" w:ascii="Arial" w:hAnsi="Arial"/>
          <w:i/>
          <w:iCs/>
          <w:lang w:val="en-GB"/>
        </w:rPr>
        <w:t>Ancient History and Archaeology</w:t>
      </w:r>
      <w:r>
        <w:rPr>
          <w:rFonts w:cs="Arial" w:ascii="Arial" w:hAnsi="Arial"/>
          <w:lang w:val="en-GB"/>
        </w:rPr>
        <w:t xml:space="preserve">. Avaliable at: </w:t>
      </w:r>
      <w:hyperlink r:id="rId31">
        <w:r>
          <w:rPr>
            <w:rStyle w:val="InternetLink"/>
            <w:rFonts w:cs="Arial" w:ascii="Arial" w:hAnsi="Arial"/>
            <w:lang w:val="en-GB"/>
          </w:rPr>
          <w:t>https://www.durham.ac.uk/study/courses/ancient-history-and-archaeology-vf14</w:t>
        </w:r>
      </w:hyperlink>
      <w:r>
        <w:rPr>
          <w:rFonts w:cs="Arial" w:ascii="Arial" w:hAnsi="Arial"/>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t xml:space="preserve">UCAS (2023) </w:t>
      </w:r>
      <w:r>
        <w:rPr>
          <w:rFonts w:cs="Arial" w:ascii="Arial" w:hAnsi="Arial"/>
          <w:i/>
          <w:iCs/>
          <w:lang w:val="en-GB"/>
        </w:rPr>
        <w:t xml:space="preserve">Calculate your UCAS Tariff points. </w:t>
      </w:r>
      <w:r>
        <w:rPr>
          <w:rFonts w:cs="Arial" w:ascii="Arial" w:hAnsi="Arial"/>
          <w:lang w:val="en-GB"/>
        </w:rPr>
        <w:t xml:space="preserve">Available at:  </w:t>
      </w:r>
      <w:hyperlink r:id="rId32">
        <w:r>
          <w:rPr>
            <w:rStyle w:val="InternetLink"/>
            <w:rFonts w:cs="Arial" w:ascii="Arial" w:hAnsi="Arial"/>
            <w:lang w:val="en-GB"/>
          </w:rPr>
          <w:t>https://www.ucas.com/ucas/tariff-calculator</w:t>
        </w:r>
      </w:hyperlink>
      <w:r>
        <w:rPr>
          <w:rFonts w:cs="Arial" w:ascii="Arial" w:hAnsi="Arial"/>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lineRule="auto" w:line="276" w:before="0" w:after="0"/>
        <w:rPr>
          <w:rFonts w:ascii="Arial" w:hAnsi="Arial" w:cs="Arial"/>
          <w:lang w:val="en-GB"/>
        </w:rPr>
      </w:pPr>
      <w:r>
        <w:rPr>
          <w:rFonts w:cs="Arial" w:ascii="Arial" w:hAnsi="Arial"/>
          <w:lang w:val="en-GB"/>
        </w:rPr>
        <w:t>University College London (2023)</w:t>
      </w:r>
      <w:r>
        <w:rPr>
          <w:rFonts w:cs="Arial" w:ascii="Arial" w:hAnsi="Arial"/>
          <w:i/>
          <w:iCs/>
          <w:lang w:val="en-GB"/>
        </w:rPr>
        <w:t xml:space="preserve"> Classics and the Ancient World BA</w:t>
      </w:r>
      <w:r>
        <w:rPr>
          <w:rFonts w:cs="Arial" w:ascii="Arial" w:hAnsi="Arial"/>
          <w:lang w:val="en-GB"/>
        </w:rPr>
        <w:t xml:space="preserve">. Available at: </w:t>
      </w:r>
      <w:hyperlink r:id="rId33">
        <w:r>
          <w:rPr>
            <w:rStyle w:val="InternetLink"/>
            <w:rFonts w:cs="Arial" w:ascii="Arial" w:hAnsi="Arial"/>
            <w:lang w:val="en-GB"/>
          </w:rPr>
          <w:t>https://www.ucl.ac.uk/prospective-students/undergraduate/degrees/classics-and-ancient-world-ba</w:t>
        </w:r>
      </w:hyperlink>
      <w:r>
        <w:rPr>
          <w:rFonts w:cs="Arial" w:ascii="Arial" w:hAnsi="Arial"/>
          <w:lang w:val="en-GB"/>
        </w:rPr>
        <w:t xml:space="preserve"> (Accessed: 1 October 2023)</w:t>
      </w:r>
    </w:p>
    <w:p>
      <w:pPr>
        <w:pStyle w:val="Normal"/>
        <w:spacing w:lineRule="auto" w:line="276"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i w:val="false"/>
          <w:iCs w:val="false"/>
          <w:lang w:val="en-GB"/>
        </w:rPr>
        <w:t xml:space="preserve">King’s College London (2023) </w:t>
      </w:r>
      <w:r>
        <w:rPr>
          <w:rFonts w:cs="Arial" w:ascii="Arial" w:hAnsi="Arial"/>
          <w:i/>
          <w:iCs/>
          <w:lang w:val="en-GB"/>
        </w:rPr>
        <w:t>Classics and the Ancient World BA.</w:t>
      </w:r>
      <w:r>
        <w:rPr>
          <w:rFonts w:cs="Arial" w:ascii="Arial" w:hAnsi="Arial"/>
          <w:lang w:val="en-GB"/>
        </w:rPr>
        <w:t xml:space="preserve"> Available at: </w:t>
      </w:r>
      <w:hyperlink r:id="rId34">
        <w:r>
          <w:rPr>
            <w:rStyle w:val="InternetLink"/>
            <w:rFonts w:cs="Arial" w:ascii="Arial" w:hAnsi="Arial"/>
            <w:lang w:val="en-GB"/>
          </w:rPr>
          <w:t>https://www.kcl.ac.uk/study/undergraduate/courses/classics-and-the-ancient-world-ba</w:t>
        </w:r>
      </w:hyperlink>
      <w:r>
        <w:rPr>
          <w:rFonts w:cs="Arial" w:ascii="Arial" w:hAnsi="Arial"/>
          <w:lang w:val="en-GB"/>
        </w:rPr>
        <w:t xml:space="preserve"> (Accessed: 1 October 2023)</w:t>
      </w:r>
    </w:p>
    <w:p>
      <w:pPr>
        <w:pStyle w:val="Normal"/>
        <w:spacing w:before="0" w:after="0"/>
        <w:rPr>
          <w:rFonts w:ascii="Arial" w:hAnsi="Arial" w:cs="Arial"/>
          <w:lang w:val="en-GB"/>
        </w:rPr>
      </w:pPr>
      <w:r>
        <w:rPr>
          <w:rFonts w:cs="Arial" w:ascii="Arial" w:hAnsi="Arial"/>
          <w:lang w:val="en-GB"/>
        </w:rPr>
      </w:r>
    </w:p>
    <w:p>
      <w:pPr>
        <w:pStyle w:val="Normal"/>
        <w:spacing w:before="0" w:after="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ind w:left="-142" w:hanging="0"/>
        <w:rPr>
          <w:lang w:val="en-GB"/>
        </w:rPr>
      </w:pPr>
      <w:r>
        <w:rPr>
          <w:rFonts w:cs="Arial" w:ascii="Arial" w:hAnsi="Arial"/>
          <w:b/>
          <w:bCs/>
          <w:lang w:val="en-GB"/>
        </w:rPr>
        <w:t xml:space="preserve">Task 2 (b) – Expectations </w:t>
      </w:r>
      <w:r>
        <w:rPr>
          <w:rFonts w:cs="Arial" w:ascii="Arial" w:hAnsi="Arial"/>
          <w:lang w:val="en-GB"/>
        </w:rPr>
        <w:t>(AC 1.3)</w:t>
      </w:r>
    </w:p>
    <w:p>
      <w:pPr>
        <w:pStyle w:val="Normal"/>
        <w:ind w:left="-142" w:hanging="0"/>
        <w:rPr>
          <w:rFonts w:ascii="Arial" w:hAnsi="Arial" w:cs="Arial"/>
          <w:lang w:val="en-GB"/>
        </w:rPr>
      </w:pPr>
      <w:r>
        <w:rPr>
          <w:rFonts w:cs="Arial" w:ascii="Arial" w:hAnsi="Arial"/>
          <w:lang w:val="en-GB"/>
        </w:rPr>
      </w:r>
    </w:p>
    <w:p>
      <w:pPr>
        <w:pStyle w:val="Normal"/>
        <w:ind w:left="-142" w:hanging="0"/>
        <w:rPr>
          <w:lang w:val="en-GB"/>
        </w:rPr>
      </w:pPr>
      <w:r>
        <w:rPr>
          <w:rFonts w:cs="Arial" w:ascii="Arial" w:hAnsi="Arial"/>
          <w:color w:val="0D0D0D" w:themeColor="text1" w:themeTint="f2"/>
          <w:lang w:val="en-GB"/>
        </w:rPr>
        <w:t>Explain the expectations of your chosen career and /or course.  Explain why these expectations are essential for success in this course or your career choice (300 words).</w:t>
      </w:r>
    </w:p>
    <w:p>
      <w:pPr>
        <w:pStyle w:val="Normal"/>
        <w:ind w:left="-142" w:hanging="0"/>
        <w:rPr>
          <w:color w:val="0D0D0D" w:themeColor="text1" w:themeTint="f2"/>
          <w:lang w:val="en-GB"/>
        </w:rPr>
      </w:pPr>
      <w:r>
        <w:rPr>
          <w:color w:val="0D0D0D" w:themeColor="text1" w:themeTint="f2"/>
          <w:lang w:val="en-GB"/>
        </w:rPr>
      </w:r>
    </w:p>
    <w:tbl>
      <w:tblPr>
        <w:tblStyle w:val="TableGrid"/>
        <w:tblW w:w="9878"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9878"/>
      </w:tblGrid>
      <w:tr>
        <w:trPr/>
        <w:tc>
          <w:tcPr>
            <w:tcW w:w="9878"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ind w:left="-142" w:hanging="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lang w:val="en-GB"/>
        </w:rPr>
      </w:pPr>
      <w:r>
        <w:rPr>
          <w:rFonts w:cs="Arial" w:ascii="Arial" w:hAnsi="Arial"/>
          <w:lang w:val="en-GB"/>
        </w:rPr>
      </w:r>
      <w:r>
        <w:br w:type="page"/>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Task 3 – SWOT Analysis</w:t>
      </w:r>
      <w:r>
        <w:rPr>
          <w:rFonts w:cs="Arial" w:ascii="Arial" w:hAnsi="Arial"/>
          <w:lang w:val="en-GB"/>
        </w:rPr>
        <w:t xml:space="preserve"> (AC 2.1, 2.2)</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Complete the following table:</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8"/>
        <w:gridCol w:w="4867"/>
      </w:tblGrid>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Strengths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Weaknesses</w:t>
            </w:r>
          </w:p>
          <w:p>
            <w:pPr>
              <w:pStyle w:val="Normal"/>
              <w:widowControl w:val="false"/>
              <w:suppressAutoHyphens w:val="true"/>
              <w:spacing w:before="0" w:after="0"/>
              <w:jc w:val="left"/>
              <w:rPr>
                <w:rFonts w:ascii="Arial" w:hAnsi="Arial" w:cs="Arial"/>
                <w:b/>
                <w:bCs/>
                <w:kern w:val="0"/>
                <w:u w:val="single"/>
                <w:lang w:val="en-GB" w:eastAsia="en-US" w:bidi="ar-SA"/>
              </w:rPr>
            </w:pPr>
            <w:r>
              <w:rPr>
                <w:rFonts w:cs="Arial" w:ascii="Arial" w:hAnsi="Arial"/>
                <w:b/>
                <w:bCs/>
                <w:kern w:val="0"/>
                <w:u w:val="single"/>
                <w:lang w:val="en-GB" w:eastAsia="en-US" w:bidi="ar-SA"/>
              </w:rPr>
            </w:r>
          </w:p>
        </w:tc>
      </w:tr>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List the skills, qualifications, talents, interests, attitudes, and other attributes that you consider to be positive.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skills or experience are expected in your application route that you do not currently possess or are minimal?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6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build on your strengths?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7"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bridge any identified gaps in skills or experience?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3"/>
        <w:gridCol w:w="4862"/>
      </w:tblGrid>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Opportunities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u w:val="single"/>
                <w:lang w:val="en-GB" w:eastAsia="en-US" w:bidi="ar-SA"/>
              </w:rPr>
              <w:t>Threats</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are the potential opportunities that could open up to you as a result of obtaining this degree?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might prevent you from achieving your goal at this time?</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7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6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What can you do to minimise the risks associated with these potential barriers to achieving your goal?</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4 – SMART Objectives </w:t>
      </w:r>
      <w:r>
        <w:rPr>
          <w:rFonts w:cs="Arial" w:ascii="Arial" w:hAnsi="Arial"/>
          <w:lang w:val="en-GB"/>
        </w:rPr>
        <w:t>(AC 3.1)</w:t>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lang w:val="en-GB"/>
        </w:rPr>
        <w:t>SMART objectives (Specific, Measurable, Achievable, Relevant and within the given Time-Frame). You should identify clear objectives along with dates for achievement of each and accompanied by a reflective review of progress towards these objectives. Where necessary resetting of some of these objectives.</w:t>
      </w:r>
    </w:p>
    <w:p>
      <w:pPr>
        <w:pStyle w:val="Normal"/>
        <w:rPr>
          <w:rFonts w:ascii="Arial" w:hAnsi="Arial" w:cs="Arial"/>
          <w:lang w:val="en-GB"/>
        </w:rPr>
      </w:pPr>
      <w:r>
        <w:rPr>
          <w:rFonts w:cs="Arial" w:ascii="Arial" w:hAnsi="Arial"/>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9"/>
        <w:gridCol w:w="2801"/>
        <w:gridCol w:w="2796"/>
      </w:tblGrid>
      <w:tr>
        <w:trPr/>
        <w:tc>
          <w:tcPr>
            <w:tcW w:w="4139"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Objective</w:t>
            </w:r>
          </w:p>
        </w:tc>
        <w:tc>
          <w:tcPr>
            <w:tcW w:w="2801"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Target Achievement Date</w:t>
            </w:r>
          </w:p>
        </w:tc>
        <w:tc>
          <w:tcPr>
            <w:tcW w:w="2796" w:type="dxa"/>
            <w:tcBorders/>
          </w:tcPr>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Achieved (A)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 xml:space="preserve">Partially Achieved (PA) </w:t>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Not Yet Achieved (NYA)</w:t>
            </w:r>
          </w:p>
        </w:tc>
      </w:tr>
      <w:tr>
        <w:trPr/>
        <w:tc>
          <w:tcPr>
            <w:tcW w:w="413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139"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80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279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b/>
          <w:bCs/>
          <w:lang w:val="en-GB"/>
        </w:rPr>
      </w:pPr>
      <w:r>
        <w:rPr>
          <w:rFonts w:cs="Arial" w:ascii="Arial" w:hAnsi="Arial"/>
          <w:b/>
          <w:bCs/>
          <w:lang w:val="en-GB"/>
        </w:rPr>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Reflective Review of SMART Objective Achievement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 xml:space="preserve">Task 5 – Personal Statement </w:t>
      </w:r>
      <w:r>
        <w:rPr>
          <w:rFonts w:cs="Arial" w:ascii="Arial" w:hAnsi="Arial"/>
          <w:lang w:val="en-GB"/>
        </w:rPr>
        <w:t>(AC 3.2)</w:t>
      </w:r>
    </w:p>
    <w:p>
      <w:pPr>
        <w:pStyle w:val="Normal"/>
        <w:rPr>
          <w:rFonts w:ascii="Arial" w:hAnsi="Arial" w:cs="Arial"/>
          <w:b/>
          <w:bCs/>
          <w:lang w:val="en-GB"/>
        </w:rPr>
      </w:pPr>
      <w:r>
        <w:rPr>
          <w:rFonts w:cs="Arial" w:ascii="Arial" w:hAnsi="Arial"/>
          <w:b/>
          <w:bCs/>
          <w:lang w:val="en-GB"/>
        </w:rPr>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Attach/paste a copy of the final draft of your personal statement</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9736"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spacing w:lineRule="auto" w:line="276" w:before="0" w:after="200"/>
        <w:rPr>
          <w:rFonts w:ascii="Arial" w:hAnsi="Arial" w:cs="Arial"/>
          <w:b/>
          <w:bCs/>
          <w:lang w:val="en-GB"/>
        </w:rPr>
      </w:pPr>
      <w:r>
        <w:rPr>
          <w:rFonts w:cs="Arial" w:ascii="Arial" w:hAnsi="Arial"/>
          <w:b/>
          <w:bCs/>
          <w:lang w:val="en-GB"/>
        </w:rPr>
      </w:r>
      <w:r>
        <w:br w:type="page"/>
      </w:r>
    </w:p>
    <w:p>
      <w:pPr>
        <w:pStyle w:val="Normal"/>
        <w:rPr>
          <w:rFonts w:ascii="Arial" w:hAnsi="Arial" w:cs="Arial"/>
          <w:b/>
          <w:bCs/>
          <w:lang w:val="en-GB"/>
        </w:rPr>
      </w:pPr>
      <w:r>
        <w:rPr>
          <w:rFonts w:cs="Arial" w:ascii="Arial" w:hAnsi="Arial"/>
          <w:b/>
          <w:bCs/>
          <w:lang w:val="en-GB"/>
        </w:rPr>
      </w:r>
    </w:p>
    <w:p>
      <w:pPr>
        <w:pStyle w:val="Normal"/>
        <w:rPr>
          <w:lang w:val="en-GB"/>
        </w:rPr>
      </w:pPr>
      <w:r>
        <w:rPr>
          <w:rFonts w:cs="Arial" w:ascii="Arial" w:hAnsi="Arial"/>
          <w:b/>
          <w:bCs/>
          <w:lang w:val="en-GB"/>
        </w:rPr>
        <w:t>Task 6</w:t>
      </w:r>
      <w:r>
        <w:rPr>
          <w:rFonts w:cs="Arial" w:ascii="Arial" w:hAnsi="Arial"/>
          <w:lang w:val="en-GB"/>
        </w:rPr>
        <w:t xml:space="preserve"> (AC 4.1)</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From your research and based on your chosen progression route, identify 10 key interview questions that are most relevant and prepare notes on the responses that you intend to provide to each of these.</w:t>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A</w:t>
      </w:r>
    </w:p>
    <w:tbl>
      <w:tblPr>
        <w:tblStyle w:val="TableGrid"/>
        <w:tblW w:w="97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52"/>
        <w:gridCol w:w="4883"/>
      </w:tblGrid>
      <w:tr>
        <w:trPr/>
        <w:tc>
          <w:tcPr>
            <w:tcW w:w="485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Relevant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 xml:space="preserve">Any additional questions asked by colleague (if applicable) </w:t>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85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4883"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 xml:space="preserve">Practice the above questions with a colleague.  Provide your colleague with a copy of Table A so that they may ask you the questions.  Your colleague will complete Table B with your responses.  Once this is complete, you will then be able to evaluate your own responses and provide improvements where appropriate. </w:t>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b/>
          <w:bCs/>
          <w:lang w:val="en-GB"/>
        </w:rPr>
        <w:t>Table B</w:t>
      </w:r>
      <w:r>
        <w:rPr>
          <w:rFonts w:cs="Arial" w:ascii="Arial" w:hAnsi="Arial"/>
          <w:lang w:val="en-GB"/>
        </w:rPr>
        <w:t xml:space="preserve"> (AC 4.2) </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8"/>
        <w:gridCol w:w="5102"/>
      </w:tblGrid>
      <w:tr>
        <w:trPr/>
        <w:tc>
          <w:tcPr>
            <w:tcW w:w="4928"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Response to Key Questions</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p>
            <w:pPr>
              <w:pStyle w:val="Normal"/>
              <w:widowControl w:val="false"/>
              <w:suppressAutoHyphens w:val="true"/>
              <w:spacing w:before="0" w:after="0"/>
              <w:jc w:val="left"/>
              <w:rPr>
                <w:rFonts w:cs=""/>
                <w:kern w:val="0"/>
                <w:lang w:val="en-GB" w:eastAsia="en-US" w:bidi="ar-SA"/>
              </w:rPr>
            </w:pPr>
            <w:r>
              <w:rPr>
                <w:rFonts w:cs="Arial" w:ascii="Arial" w:hAnsi="Arial"/>
                <w:b/>
                <w:bCs/>
                <w:kern w:val="0"/>
                <w:lang w:val="en-GB" w:eastAsia="en-US" w:bidi="ar-SA"/>
              </w:rPr>
              <w:t>Evaluation of Response</w:t>
            </w:r>
          </w:p>
          <w:p>
            <w:pPr>
              <w:pStyle w:val="Normal"/>
              <w:widowControl w:val="false"/>
              <w:suppressAutoHyphens w:val="true"/>
              <w:spacing w:before="0" w:after="0"/>
              <w:jc w:val="left"/>
              <w:rPr>
                <w:rFonts w:ascii="Arial" w:hAnsi="Arial" w:cs="Arial"/>
                <w:b/>
                <w:bCs/>
                <w:kern w:val="0"/>
                <w:lang w:val="en-GB" w:eastAsia="en-US" w:bidi="ar-SA"/>
              </w:rPr>
            </w:pPr>
            <w:r>
              <w:rPr>
                <w:rFonts w:cs="Arial" w:ascii="Arial" w:hAnsi="Arial"/>
                <w:b/>
                <w:bCs/>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Q2.</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Q3.</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Q4.</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Q5.</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Q6</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Q7.</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Q8.</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Q9.</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r>
        <w:trPr/>
        <w:tc>
          <w:tcPr>
            <w:tcW w:w="4928" w:type="dxa"/>
            <w:tcBorders/>
          </w:tcPr>
          <w:p>
            <w:pPr>
              <w:pStyle w:val="Normal"/>
              <w:widowControl w:val="false"/>
              <w:suppressAutoHyphens w:val="true"/>
              <w:spacing w:before="0" w:after="0"/>
              <w:jc w:val="left"/>
              <w:rPr>
                <w:rFonts w:cs=""/>
                <w:kern w:val="0"/>
                <w:lang w:val="en-GB" w:eastAsia="en-US" w:bidi="ar-SA"/>
              </w:rPr>
            </w:pPr>
            <w:r>
              <w:rPr>
                <w:rFonts w:cs="Arial" w:ascii="Arial" w:hAnsi="Arial"/>
                <w:kern w:val="0"/>
                <w:lang w:val="en-GB" w:eastAsia="en-US" w:bidi="ar-SA"/>
              </w:rPr>
              <w:t>Q10.</w:t>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c>
          <w:tcPr>
            <w:tcW w:w="5102"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lang w:val="en-GB"/>
        </w:rPr>
      </w:r>
    </w:p>
    <w:p>
      <w:pPr>
        <w:pStyle w:val="Normal"/>
        <w:rPr>
          <w:lang w:val="en-GB"/>
        </w:rPr>
      </w:pPr>
      <w:r>
        <w:rPr>
          <w:rFonts w:cs="Arial" w:ascii="Arial" w:hAnsi="Arial"/>
          <w:lang w:val="en-GB"/>
        </w:rPr>
        <w:t>Where you have identified that responses were less than adequate, you should summarise below your suggestions for improvement:</w:t>
      </w:r>
    </w:p>
    <w:p>
      <w:pPr>
        <w:pStyle w:val="Normal"/>
        <w:rPr>
          <w:rFonts w:ascii="Arial" w:hAnsi="Arial" w:cs="Arial"/>
          <w:lang w:val="en-GB"/>
        </w:rPr>
      </w:pPr>
      <w:r>
        <w:rPr>
          <w:rFonts w:cs="Arial" w:ascii="Arial" w:hAnsi="Arial"/>
          <w:lang w:val="en-GB"/>
        </w:rPr>
      </w:r>
    </w:p>
    <w:tbl>
      <w:tblPr>
        <w:tblStyle w:val="TableGrid"/>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31"/>
      </w:tblGrid>
      <w:tr>
        <w:trPr/>
        <w:tc>
          <w:tcPr>
            <w:tcW w:w="10031" w:type="dxa"/>
            <w:tcBorders/>
          </w:tcPr>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p>
            <w:pPr>
              <w:pStyle w:val="Normal"/>
              <w:widowControl w:val="false"/>
              <w:suppressAutoHyphens w:val="true"/>
              <w:spacing w:before="0" w:after="0"/>
              <w:jc w:val="left"/>
              <w:rPr>
                <w:rFonts w:ascii="Arial" w:hAnsi="Arial" w:cs="Arial"/>
                <w:kern w:val="0"/>
                <w:lang w:val="en-GB" w:eastAsia="en-US" w:bidi="ar-SA"/>
              </w:rPr>
            </w:pPr>
            <w:r>
              <w:rPr>
                <w:rFonts w:cs="Arial" w:ascii="Arial" w:hAnsi="Arial"/>
                <w:kern w:val="0"/>
                <w:lang w:val="en-GB" w:eastAsia="en-US" w:bidi="ar-SA"/>
              </w:rPr>
            </w:r>
          </w:p>
        </w:tc>
      </w:tr>
    </w:tbl>
    <w:p>
      <w:pPr>
        <w:pStyle w:val="Normal"/>
        <w:rPr>
          <w:lang w:val="en-GB"/>
        </w:rPr>
      </w:pPr>
      <w:r>
        <w:rPr>
          <w:lang w:val="en-GB"/>
        </w:rPr>
      </w:r>
    </w:p>
    <w:p>
      <w:pPr>
        <w:pStyle w:val="Normal"/>
        <w:rPr>
          <w:lang w:val="en-GB"/>
        </w:rPr>
      </w:pPr>
      <w:r>
        <w:rPr>
          <w:lang w:val="en-GB"/>
        </w:rPr>
      </w:r>
    </w:p>
    <w:sectPr>
      <w:headerReference w:type="default" r:id="rId35"/>
      <w:headerReference w:type="first" r:id="rId36"/>
      <w:footerReference w:type="default" r:id="rId37"/>
      <w:footerReference w:type="first" r:id="rId38"/>
      <w:type w:val="nextPage"/>
      <w:pgSz w:w="11906" w:h="16838"/>
      <w:pgMar w:left="1080" w:right="1080" w:gutter="0" w:header="907" w:top="1440" w:footer="794"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DejaVu Serif">
    <w:charset w:val="01"/>
    <w:family w:val="swiss"/>
    <w:pitch w:val="variable"/>
  </w:font>
  <w:font w:name="DejaVu Sans">
    <w:charset w:val="01"/>
    <w:family w:val="roman"/>
    <w:pitch w:val="variable"/>
  </w:font>
  <w:font w:name="Arial">
    <w:charset w:val="01"/>
    <w:family w:val="roman"/>
    <w:pitch w:val="variable"/>
  </w:font>
  <w:font w:name="Times New Roman">
    <w:charset w:val="01"/>
    <w:family w:val="roman"/>
    <w:pitch w:val="variable"/>
  </w:font>
  <w:font w:name="Corbe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0745064"/>
    </w:sdtPr>
    <w:sdtContent>
      <w:p>
        <w:pPr>
          <w:pStyle w:val="Footer"/>
          <w:rPr>
            <w:lang w:val="en-GB"/>
          </w:rPr>
        </w:pPr>
        <w:r>
          <w:drawing>
            <wp:anchor behindDoc="1" distT="0" distB="0" distL="0" distR="0" simplePos="0" locked="0" layoutInCell="1" allowOverlap="1" relativeHeight="9">
              <wp:simplePos x="0" y="0"/>
              <wp:positionH relativeFrom="column">
                <wp:posOffset>5050155</wp:posOffset>
              </wp:positionH>
              <wp:positionV relativeFrom="paragraph">
                <wp:posOffset>14605</wp:posOffset>
              </wp:positionV>
              <wp:extent cx="1422400" cy="368300"/>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4</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6593324"/>
    </w:sdtPr>
    <w:sdtContent>
      <w:p>
        <w:pPr>
          <w:pStyle w:val="Footer"/>
          <w:rPr>
            <w:lang w:val="en-GB"/>
          </w:rPr>
        </w:pPr>
        <w:r>
          <w:drawing>
            <wp:anchor behindDoc="1" distT="0" distB="0" distL="0" distR="0" simplePos="0" locked="0" layoutInCell="1" allowOverlap="1" relativeHeight="37">
              <wp:simplePos x="0" y="0"/>
              <wp:positionH relativeFrom="column">
                <wp:posOffset>5050155</wp:posOffset>
              </wp:positionH>
              <wp:positionV relativeFrom="paragraph">
                <wp:posOffset>14605</wp:posOffset>
              </wp:positionV>
              <wp:extent cx="1422400" cy="368300"/>
              <wp:effectExtent l="0" t="0" r="0" b="0"/>
              <wp:wrapNone/>
              <wp:docPr id="15" name="Picture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Copy 1 Copy 1" descr=""/>
                      <pic:cNvPicPr>
                        <a:picLocks noChangeAspect="1" noChangeArrowheads="1"/>
                      </pic:cNvPicPr>
                    </pic:nvPicPr>
                    <pic:blipFill>
                      <a:blip r:embed="rId1"/>
                      <a:stretch>
                        <a:fillRect/>
                      </a:stretch>
                    </pic:blipFill>
                    <pic:spPr bwMode="auto">
                      <a:xfrm>
                        <a:off x="0" y="0"/>
                        <a:ext cx="1422400" cy="368300"/>
                      </a:xfrm>
                      <a:prstGeom prst="rect">
                        <a:avLst/>
                      </a:prstGeom>
                    </pic:spPr>
                  </pic:pic>
                </a:graphicData>
              </a:graphic>
            </wp:anchor>
          </w:drawing>
        </w:r>
        <w:r>
          <w:rPr>
            <w:rFonts w:cs="Arial" w:ascii="Arial" w:hAnsi="Arial"/>
            <w:szCs w:val="20"/>
            <w:lang w:val="en-GB"/>
          </w:rPr>
          <w:fldChar w:fldCharType="begin"/>
        </w:r>
        <w:r>
          <w:rPr>
            <w:szCs w:val="20"/>
            <w:rFonts w:cs="Arial" w:ascii="Arial" w:hAnsi="Arial"/>
            <w:lang w:val="en-GB"/>
          </w:rPr>
          <w:instrText xml:space="preserve"> PAGE </w:instrText>
        </w:r>
        <w:r>
          <w:rPr>
            <w:szCs w:val="20"/>
            <w:rFonts w:cs="Arial" w:ascii="Arial" w:hAnsi="Arial"/>
            <w:lang w:val="en-GB"/>
          </w:rPr>
          <w:fldChar w:fldCharType="separate"/>
        </w:r>
        <w:r>
          <w:rPr>
            <w:szCs w:val="20"/>
            <w:rFonts w:cs="Arial" w:ascii="Arial" w:hAnsi="Arial"/>
            <w:lang w:val="en-GB"/>
          </w:rPr>
          <w:t>19</w:t>
        </w:r>
        <w:r>
          <w:rPr>
            <w:szCs w:val="20"/>
            <w:rFonts w:cs="Arial" w:ascii="Arial" w:hAnsi="Arial"/>
            <w:lang w:val="en-GB"/>
          </w:rPr>
          <w:fldChar w:fldCharType="end"/>
        </w:r>
        <w:r>
          <w:rPr>
            <w:rFonts w:cs="Arial" w:ascii="Arial" w:hAnsi="Arial"/>
            <w:szCs w:val="20"/>
            <w:lang w:val="en-GB"/>
          </w:rPr>
          <w:tab/>
          <w:t>© OCN London 2022</w:t>
          <w:br/>
          <w:tab/>
          <w:t>(Preparation for Higher Education)</w:t>
        </w:r>
        <w:r>
          <w:rPr>
            <w:rFonts w:cs="Arial" w:ascii="Arial" w:hAnsi="Arial"/>
            <w:sz w:val="16"/>
            <w:szCs w:val="16"/>
            <w:lang w:val="en-GB"/>
          </w:rPr>
          <w:tab/>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0" allowOverlap="1" relativeHeight="5">
          <wp:simplePos x="0" y="0"/>
          <wp:positionH relativeFrom="margin">
            <wp:align>left</wp:align>
          </wp:positionH>
          <wp:positionV relativeFrom="paragraph">
            <wp:posOffset>-57150</wp:posOffset>
          </wp:positionV>
          <wp:extent cx="1584325" cy="871855"/>
          <wp:effectExtent l="0" t="0" r="0" b="0"/>
          <wp:wrapNone/>
          <wp:docPr id="1" name="Picture 25"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istParagraph"/>
      <w:spacing w:lineRule="auto" w:line="240" w:before="0" w:after="0"/>
      <w:ind w:left="720" w:right="-35" w:hanging="0"/>
      <w:contextualSpacing/>
      <w:jc w:val="right"/>
      <w:rPr>
        <w:lang w:val="en-GB"/>
      </w:rPr>
    </w:pPr>
    <w:r>
      <w:drawing>
        <wp:anchor behindDoc="1" distT="0" distB="0" distL="0" distR="0" simplePos="0" locked="0" layoutInCell="1" allowOverlap="1" relativeHeight="23">
          <wp:simplePos x="0" y="0"/>
          <wp:positionH relativeFrom="column">
            <wp:posOffset>-318770</wp:posOffset>
          </wp:positionH>
          <wp:positionV relativeFrom="paragraph">
            <wp:posOffset>-109855</wp:posOffset>
          </wp:positionV>
          <wp:extent cx="1584325" cy="871855"/>
          <wp:effectExtent l="0" t="0" r="0" b="0"/>
          <wp:wrapNone/>
          <wp:docPr id="14" name="Picture 30 Copy 1"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Copy 1" descr="OCN_PrimaryLogo_RGB"/>
                  <pic:cNvPicPr>
                    <a:picLocks noChangeAspect="1" noChangeArrowheads="1"/>
                  </pic:cNvPicPr>
                </pic:nvPicPr>
                <pic:blipFill>
                  <a:blip r:embed="rId1"/>
                  <a:stretch>
                    <a:fillRect/>
                  </a:stretch>
                </pic:blipFill>
                <pic:spPr bwMode="auto">
                  <a:xfrm>
                    <a:off x="0" y="0"/>
                    <a:ext cx="1584325" cy="871855"/>
                  </a:xfrm>
                  <a:prstGeom prst="rect">
                    <a:avLst/>
                  </a:prstGeom>
                </pic:spPr>
              </pic:pic>
            </a:graphicData>
          </a:graphic>
        </wp:anchor>
      </w:drawing>
    </w:r>
    <w:r>
      <w:rPr>
        <w:rFonts w:eastAsia="MS Gothic" w:cs="Arial" w:ascii="Arial" w:hAnsi="Arial"/>
        <w:b/>
        <w:color w:val="4F2683"/>
        <w:spacing w:val="5"/>
        <w:kern w:val="2"/>
        <w:sz w:val="36"/>
        <w:szCs w:val="44"/>
        <w:lang w:val="en-GB" w:eastAsia="en-GB"/>
      </w:rPr>
      <w:t>ASSESSMENT MATERIALS (2023-24)</w:t>
    </w:r>
  </w:p>
  <w:p>
    <w:pPr>
      <w:pStyle w:val="Normal"/>
      <w:jc w:val="right"/>
      <w:rPr>
        <w:lang w:val="en-GB"/>
      </w:rPr>
    </w:pPr>
    <w:r>
      <w:rPr>
        <w:rFonts w:eastAsia="Times New Roman" w:cs="Arial" w:ascii="Arial" w:hAnsi="Arial"/>
        <w:b/>
        <w:bCs/>
        <w:color w:val="2B9ED8"/>
        <w:sz w:val="32"/>
        <w:szCs w:val="32"/>
        <w:lang w:val="en-GB" w:eastAsia="en-GB"/>
      </w:rPr>
      <w:t xml:space="preserve">PREPARATION FOR HIGHER </w:t>
      <w:br/>
      <w:t>EDUCATION (CBB392)</w:t>
    </w:r>
  </w:p>
  <w:p>
    <w:pPr>
      <w:pStyle w:val="Header"/>
      <w:rPr>
        <w:lang w:val="en-GB"/>
      </w:rPr>
    </w:pPr>
    <w:r>
      <w:rPr>
        <w:lang w:val="en-GB"/>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219" w:hanging="360"/>
      </w:pPr>
      <w:rPr>
        <w:rFonts w:ascii="Symbol" w:hAnsi="Symbol" w:cs="Symbol" w:hint="default"/>
      </w:rPr>
    </w:lvl>
    <w:lvl w:ilvl="1">
      <w:start w:val="1"/>
      <w:numFmt w:val="bullet"/>
      <w:lvlText w:val="o"/>
      <w:lvlJc w:val="left"/>
      <w:pPr>
        <w:tabs>
          <w:tab w:val="num" w:pos="0"/>
        </w:tabs>
        <w:ind w:left="501" w:hanging="360"/>
      </w:pPr>
      <w:rPr>
        <w:rFonts w:ascii="Courier New" w:hAnsi="Courier New" w:cs="Courier New" w:hint="default"/>
      </w:rPr>
    </w:lvl>
    <w:lvl w:ilvl="2">
      <w:start w:val="1"/>
      <w:numFmt w:val="bullet"/>
      <w:lvlText w:val=""/>
      <w:lvlJc w:val="left"/>
      <w:pPr>
        <w:tabs>
          <w:tab w:val="num" w:pos="0"/>
        </w:tabs>
        <w:ind w:left="1221" w:hanging="360"/>
      </w:pPr>
      <w:rPr>
        <w:rFonts w:ascii="Wingdings" w:hAnsi="Wingdings" w:cs="Wingdings" w:hint="default"/>
      </w:rPr>
    </w:lvl>
    <w:lvl w:ilvl="3">
      <w:start w:val="1"/>
      <w:numFmt w:val="bullet"/>
      <w:lvlText w:val=""/>
      <w:lvlJc w:val="left"/>
      <w:pPr>
        <w:tabs>
          <w:tab w:val="num" w:pos="0"/>
        </w:tabs>
        <w:ind w:left="1941" w:hanging="360"/>
      </w:pPr>
      <w:rPr>
        <w:rFonts w:ascii="Symbol" w:hAnsi="Symbol" w:cs="Symbol" w:hint="default"/>
      </w:rPr>
    </w:lvl>
    <w:lvl w:ilvl="4">
      <w:start w:val="1"/>
      <w:numFmt w:val="bullet"/>
      <w:lvlText w:val="o"/>
      <w:lvlJc w:val="left"/>
      <w:pPr>
        <w:tabs>
          <w:tab w:val="num" w:pos="0"/>
        </w:tabs>
        <w:ind w:left="2661" w:hanging="360"/>
      </w:pPr>
      <w:rPr>
        <w:rFonts w:ascii="Courier New" w:hAnsi="Courier New" w:cs="Courier New" w:hint="default"/>
      </w:rPr>
    </w:lvl>
    <w:lvl w:ilvl="5">
      <w:start w:val="1"/>
      <w:numFmt w:val="bullet"/>
      <w:lvlText w:val=""/>
      <w:lvlJc w:val="left"/>
      <w:pPr>
        <w:tabs>
          <w:tab w:val="num" w:pos="0"/>
        </w:tabs>
        <w:ind w:left="3381" w:hanging="360"/>
      </w:pPr>
      <w:rPr>
        <w:rFonts w:ascii="Wingdings" w:hAnsi="Wingdings" w:cs="Wingdings" w:hint="default"/>
      </w:rPr>
    </w:lvl>
    <w:lvl w:ilvl="6">
      <w:start w:val="1"/>
      <w:numFmt w:val="bullet"/>
      <w:lvlText w:val=""/>
      <w:lvlJc w:val="left"/>
      <w:pPr>
        <w:tabs>
          <w:tab w:val="num" w:pos="0"/>
        </w:tabs>
        <w:ind w:left="4101" w:hanging="360"/>
      </w:pPr>
      <w:rPr>
        <w:rFonts w:ascii="Symbol" w:hAnsi="Symbol" w:cs="Symbol" w:hint="default"/>
      </w:rPr>
    </w:lvl>
    <w:lvl w:ilvl="7">
      <w:start w:val="1"/>
      <w:numFmt w:val="bullet"/>
      <w:lvlText w:val="o"/>
      <w:lvlJc w:val="left"/>
      <w:pPr>
        <w:tabs>
          <w:tab w:val="num" w:pos="0"/>
        </w:tabs>
        <w:ind w:left="4821" w:hanging="360"/>
      </w:pPr>
      <w:rPr>
        <w:rFonts w:ascii="Courier New" w:hAnsi="Courier New" w:cs="Courier New" w:hint="default"/>
      </w:rPr>
    </w:lvl>
    <w:lvl w:ilvl="8">
      <w:start w:val="1"/>
      <w:numFmt w:val="bullet"/>
      <w:lvlText w:val=""/>
      <w:lvlJc w:val="left"/>
      <w:pPr>
        <w:tabs>
          <w:tab w:val="num" w:pos="0"/>
        </w:tabs>
        <w:ind w:left="5541" w:hanging="360"/>
      </w:pPr>
      <w:rPr>
        <w:rFonts w:ascii="Wingdings" w:hAnsi="Wingdings" w:cs="Wingdings" w:hint="default"/>
      </w:rPr>
    </w:lvl>
  </w:abstractNum>
  <w:abstractNum w:abstractNumId="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lvlOverride w:ilvl="0">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w="http://schemas.openxmlformats.org/wordprocessingml/2006/main">
  <w:zoom w:percent="10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6c71"/>
    <w:pPr>
      <w:widowControl/>
      <w:suppressAutoHyphens w:val="true"/>
      <w:bidi w:val="0"/>
      <w:spacing w:lineRule="auto" w:line="240" w:before="0" w:after="0"/>
      <w:jc w:val="left"/>
    </w:pPr>
    <w:rPr>
      <w:rFonts w:ascii="Merriweather Light" w:hAnsi="Merriweather Light" w:eastAsia="" w:cs="" w:eastAsiaTheme="minorEastAsia"/>
      <w:color w:val="auto"/>
      <w:kern w:val="0"/>
      <w:sz w:val="20"/>
      <w:szCs w:val="24"/>
      <w:lang w:val="en-GB" w:eastAsia="en-US" w:bidi="ar-SA"/>
    </w:rPr>
  </w:style>
  <w:style w:type="paragraph" w:styleId="Heading1">
    <w:name w:val="Heading 1"/>
    <w:basedOn w:val="Heading"/>
    <w:next w:val="TextBody"/>
    <w:qFormat/>
    <w:pPr>
      <w:spacing w:before="240" w:after="120"/>
      <w:outlineLvl w:val="0"/>
    </w:pPr>
    <w:rPr>
      <w:rFonts w:ascii="DejaVu Serif" w:hAnsi="DejaVu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6c71"/>
    <w:rPr>
      <w:rFonts w:ascii="Merriweather Light" w:hAnsi="Merriweather Light" w:eastAsia="" w:eastAsiaTheme="minorEastAsia"/>
      <w:sz w:val="20"/>
      <w:szCs w:val="24"/>
    </w:rPr>
  </w:style>
  <w:style w:type="character" w:styleId="FooterChar" w:customStyle="1">
    <w:name w:val="Footer Char"/>
    <w:basedOn w:val="DefaultParagraphFont"/>
    <w:link w:val="Footer"/>
    <w:uiPriority w:val="99"/>
    <w:qFormat/>
    <w:rsid w:val="008f6c71"/>
    <w:rPr>
      <w:rFonts w:ascii="Merriweather Light" w:hAnsi="Merriweather Light" w:eastAsia="" w:eastAsiaTheme="minorEastAsia"/>
      <w:sz w:val="20"/>
      <w:szCs w:val="24"/>
    </w:rPr>
  </w:style>
  <w:style w:type="character" w:styleId="Normaltextrun" w:customStyle="1">
    <w:name w:val="normaltextrun"/>
    <w:basedOn w:val="DefaultParagraphFont"/>
    <w:qFormat/>
    <w:rsid w:val="008f6c71"/>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f6c71"/>
    <w:pPr>
      <w:tabs>
        <w:tab w:val="clear" w:pos="720"/>
        <w:tab w:val="center" w:pos="4320" w:leader="none"/>
        <w:tab w:val="right" w:pos="8640" w:leader="none"/>
      </w:tabs>
    </w:pPr>
    <w:rPr/>
  </w:style>
  <w:style w:type="paragraph" w:styleId="Footer">
    <w:name w:val="Footer"/>
    <w:basedOn w:val="Normal"/>
    <w:link w:val="FooterChar"/>
    <w:uiPriority w:val="99"/>
    <w:unhideWhenUsed/>
    <w:rsid w:val="008f6c71"/>
    <w:pPr>
      <w:tabs>
        <w:tab w:val="clear" w:pos="720"/>
        <w:tab w:val="center" w:pos="4513" w:leader="none"/>
        <w:tab w:val="right" w:pos="9026" w:leader="none"/>
      </w:tabs>
    </w:pPr>
    <w:rPr/>
  </w:style>
  <w:style w:type="paragraph" w:styleId="LearningOutcome" w:customStyle="1">
    <w:name w:val="Learning Outcome"/>
    <w:basedOn w:val="Normal"/>
    <w:qFormat/>
    <w:rsid w:val="008f6c71"/>
    <w:pPr>
      <w:numPr>
        <w:ilvl w:val="0"/>
        <w:numId w:val="1"/>
      </w:numPr>
    </w:pPr>
    <w:rPr>
      <w:rFonts w:ascii="Arial" w:hAnsi="Arial" w:eastAsia="Times New Roman" w:cs="Arial"/>
      <w:color w:val="000080"/>
      <w:sz w:val="22"/>
      <w:szCs w:val="22"/>
    </w:rPr>
  </w:style>
  <w:style w:type="paragraph" w:styleId="AssessmentCriteria" w:customStyle="1">
    <w:name w:val="Assessment Criteria"/>
    <w:basedOn w:val="Normal"/>
    <w:qFormat/>
    <w:rsid w:val="008f6c71"/>
    <w:pPr>
      <w:numPr>
        <w:ilvl w:val="1"/>
        <w:numId w:val="1"/>
      </w:numPr>
    </w:pPr>
    <w:rPr>
      <w:rFonts w:ascii="Arial" w:hAnsi="Arial" w:eastAsia="Times New Roman" w:cs="Arial"/>
      <w:color w:val="000080"/>
      <w:sz w:val="22"/>
      <w:szCs w:val="22"/>
    </w:rPr>
  </w:style>
  <w:style w:type="paragraph" w:styleId="ListParagraph">
    <w:name w:val="List Paragraph"/>
    <w:basedOn w:val="Normal"/>
    <w:uiPriority w:val="34"/>
    <w:qFormat/>
    <w:rsid w:val="0040246f"/>
    <w:pPr>
      <w:spacing w:lineRule="auto" w:line="259" w:before="0" w:after="160"/>
      <w:ind w:left="720" w:hanging="0"/>
      <w:contextualSpacing/>
    </w:pPr>
    <w:rPr>
      <w:rFonts w:ascii="Calibri" w:hAnsi="Calibri" w:eastAsia="Calibri" w:asciiTheme="minorHAnsi" w:eastAsiaTheme="minorHAnsi" w:hAnsiTheme="minorHAnsi"/>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6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yperlink" Target="https://www.bris.ac.uk/unit-programme-catalogue/RouteStructureCohort.jsa?byCohort=24%2F25&amp;byCohort=Y&amp;selectedCatalogue=PROGRAMME&amp;orgCode=ENGL&amp;programmeCode=1ENGL006U" TargetMode="External"/><Relationship Id="rId26" Type="http://schemas.openxmlformats.org/officeDocument/2006/relationships/hyperlink" Target="https://www.durham.ac.uk/departments/academic/classics-ancient-history/postgraduate-study/" TargetMode="External"/><Relationship Id="rId27" Type="http://schemas.openxmlformats.org/officeDocument/2006/relationships/hyperlink" Target="https://www.ucl.ac.uk/prospective-students/undergraduate/degrees/classics-and-ancient-world-ba" TargetMode="External"/><Relationship Id="rId28" Type="http://schemas.openxmlformats.org/officeDocument/2006/relationships/hyperlink" Target="https://www.kcl.ac.uk/study/undergraduate/courses/classics-and-the-ancient-world-ba" TargetMode="External"/><Relationship Id="rId29" Type="http://schemas.openxmlformats.org/officeDocument/2006/relationships/hyperlink" Target="https://www.cardiff.ac.uk/study/undergraduate/courses/course/archaeology-and-ancient-history-ba" TargetMode="External"/><Relationship Id="rId30" Type="http://schemas.openxmlformats.org/officeDocument/2006/relationships/hyperlink" Target="https://www.bristol.ac.uk/study/undergraduate/2024/english/ba-english-classical-studies/" TargetMode="External"/><Relationship Id="rId31" Type="http://schemas.openxmlformats.org/officeDocument/2006/relationships/hyperlink" Target="https://www.durham.ac.uk/study/courses/ancient-history-and-archaeology-vf14" TargetMode="External"/><Relationship Id="rId32" Type="http://schemas.openxmlformats.org/officeDocument/2006/relationships/hyperlink" Target="https://www.ucas.com/ucas/tariff-calculator" TargetMode="External"/><Relationship Id="rId33" Type="http://schemas.openxmlformats.org/officeDocument/2006/relationships/hyperlink" Target="https://www.ucl.ac.uk/prospective-students/undergraduate/degrees/classics-and-ancient-world-ba" TargetMode="External"/><Relationship Id="rId34" Type="http://schemas.openxmlformats.org/officeDocument/2006/relationships/hyperlink" Target="https://www.kcl.ac.uk/study/undergraduate/courses/classics-and-the-ancient-world-ba" TargetMode="External"/><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Relationship Id="rId44" Type="http://schemas.openxmlformats.org/officeDocument/2006/relationships/customXml" Target="../customXml/item2.xml"/><Relationship Id="rId45"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4.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5" ma:contentTypeDescription="Create a new document." ma:contentTypeScope="" ma:versionID="83b5161f6fa2ccfe91bb2f75b15b7320">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9186e80301e2ee2605aba6f0b79750a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18a42-7f19-4e39-9766-df149c332959">
      <Terms xmlns="http://schemas.microsoft.com/office/infopath/2007/PartnerControls"/>
    </lcf76f155ced4ddcb4097134ff3c332f>
    <TaxCatchAll xmlns="8db2cc2e-3f02-425d-91bf-a74379c399f9" xsi:nil="true"/>
  </documentManagement>
</p:properties>
</file>

<file path=customXml/itemProps1.xml><?xml version="1.0" encoding="utf-8"?>
<ds:datastoreItem xmlns:ds="http://schemas.openxmlformats.org/officeDocument/2006/customXml" ds:itemID="{92DAF6D3-CBFF-495B-A32D-2053FE22D726}">
  <ds:schemaRefs>
    <ds:schemaRef ds:uri="http://schemas.microsoft.com/sharepoint/v3/contenttype/forms"/>
  </ds:schemaRefs>
</ds:datastoreItem>
</file>

<file path=customXml/itemProps2.xml><?xml version="1.0" encoding="utf-8"?>
<ds:datastoreItem xmlns:ds="http://schemas.openxmlformats.org/officeDocument/2006/customXml" ds:itemID="{BBF6EEE7-B4A5-46EF-B4C3-A80E6BC3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BEF09-064D-4BC8-8FC2-CC07FE34133E}">
  <ds:schemaRefs>
    <ds:schemaRef ds:uri="http://schemas.microsoft.com/office/2006/metadata/properties"/>
    <ds:schemaRef ds:uri="http://schemas.microsoft.com/office/infopath/2007/PartnerControls"/>
    <ds:schemaRef ds:uri="944e6849-b0fc-421b-a62e-be3ab66727e1"/>
    <ds:schemaRef ds:uri="7f89a1c3-0a24-4042-a6de-b6493139b0e1"/>
    <ds:schemaRef ds:uri="07c18a42-7f19-4e39-9766-df149c332959"/>
    <ds:schemaRef ds:uri="8db2cc2e-3f02-425d-91bf-a74379c399f9"/>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Application>LibreOffice/7.5.7.1$Linux_X86_64 LibreOffice_project/50$Build-1</Application>
  <AppVersion>15.0000</AppVersion>
  <DocSecurity>4</DocSecurity>
  <Pages>19</Pages>
  <Words>2401</Words>
  <Characters>13884</Characters>
  <CharactersWithSpaces>16079</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2023-09-12T12:24:00Z</dcterms:created>
  <dc:creator>Sarah Francis</dc:creator>
  <dc:description/>
  <dc:language>en-GB</dc:language>
  <cp:lastModifiedBy/>
  <dcterms:modified xsi:type="dcterms:W3CDTF">2023-10-02T20:26:57Z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