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4.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46"/>
        <w:gridCol w:w="1041"/>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46"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41"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24.9.23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62"/>
        <w:gridCol w:w="3974"/>
        <w:gridCol w:w="5135"/>
      </w:tblGrid>
      <w:tr>
        <w:trPr>
          <w:trHeight w:val="441" w:hRule="atLeast"/>
        </w:trPr>
        <w:tc>
          <w:tcPr>
            <w:tcW w:w="116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09"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6"/>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7"/>
              </w:numPr>
              <w:rPr>
                <w:lang w:val="en-GB"/>
              </w:rPr>
            </w:pPr>
            <w:r>
              <w:rPr>
                <w:color w:val="auto"/>
                <w:lang w:val="en-GB"/>
              </w:rPr>
              <w:t xml:space="preserve">Analyse the different progression routes available.   </w:t>
            </w:r>
          </w:p>
          <w:p>
            <w:pPr>
              <w:pStyle w:val="AssessmentCriteria"/>
              <w:widowControl w:val="false"/>
              <w:numPr>
                <w:ilvl w:val="1"/>
                <w:numId w:val="8"/>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9"/>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0"/>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1"/>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12"/>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3"/>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4"/>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15"/>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6"/>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7"/>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18"/>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2"/>
        <w:gridCol w:w="1380"/>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5"/>
        <w:gridCol w:w="115"/>
        <w:gridCol w:w="1869"/>
        <w:gridCol w:w="2125"/>
        <w:gridCol w:w="1560"/>
        <w:gridCol w:w="314"/>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4"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0"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0"/>
                <w:lang w:val="en-GB" w:eastAsia="en-GB"/>
              </w:rPr>
              <w:t>Date:</w:t>
            </w:r>
          </w:p>
        </w:tc>
        <w:tc>
          <w:tcPr>
            <w:tcW w:w="1544"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13">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2"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6350" distL="114300" distR="114300" simplePos="0" locked="0" layoutInCell="0" allowOverlap="1" relativeHeight="8"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798000" y="3277080"/>
                            <a:ext cx="583560" cy="101520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66280" y="1727280"/>
                            <a:ext cx="97740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9360" cy="105336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0160" y="431640"/>
                            <a:ext cx="1002600" cy="91368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2680"/>
                            <a:ext cx="1206000" cy="91368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5184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1240"/>
                            <a:ext cx="1155240" cy="93924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81;top:6126;width:918;height:1598;mso-wrap-style:none;v-text-anchor:middle" type="_x0000_t75">
                  <v:imagedata r:id="rId14" o:detectmouseclick="t"/>
                  <v:stroke color="#3465a4" joinstyle="round" endcap="flat"/>
                  <w10:wrap type="square"/>
                </v:shape>
                <v:shape id="shape_0" ID="Picture 8" stroked="f" o:allowincell="f" style="position:absolute;left:6761;top:3685;width:1538;height:1779;mso-wrap-style:none;v-text-anchor:middle" type="_x0000_t75">
                  <v:imagedata r:id="rId15" o:detectmouseclick="t"/>
                  <v:stroke color="#3465a4" joinstyle="round" endcap="flat"/>
                  <w10:wrap type="square"/>
                </v:shape>
                <v:shape id="shape_0" ID="Picture 9" stroked="f" o:allowincell="f" style="position:absolute;left:200;top:1805;width:1998;height:1658;mso-wrap-style:none;v-text-anchor:middle" type="_x0000_t75">
                  <v:imagedata r:id="rId16" o:detectmouseclick="t"/>
                  <v:stroke color="#3465a4" joinstyle="round" endcap="flat"/>
                  <w10:wrap type="square"/>
                </v:shape>
                <v:shape id="shape_0" ID="Picture 10" stroked="f" o:allowincell="f" style="position:absolute;left:5901;top:1645;width:1578;height:1438;mso-wrap-style:none;v-text-anchor:middle" type="_x0000_t75">
                  <v:imagedata r:id="rId17" o:detectmouseclick="t"/>
                  <v:stroke color="#3465a4" joinstyle="round" endcap="flat"/>
                  <w10:wrap type="square"/>
                </v:shape>
                <v:shape id="shape_0" ID="Picture 11" stroked="f" o:allowincell="f" style="position:absolute;left:200;top:4686;width:1898;height:1438;mso-wrap-style:none;v-text-anchor:middle" type="_x0000_t75">
                  <v:imagedata r:id="rId18" o:detectmouseclick="t"/>
                  <v:stroke color="#3465a4" joinstyle="round" endcap="flat"/>
                  <w10:wrap type="square"/>
                </v:shape>
                <v:shape id="shape_0" ID="Picture 12" stroked="f" o:allowincell="f" style="position:absolute;left:3200;top:965;width:1499;height:1498;mso-wrap-style:none;v-text-anchor:middle" type="_x0000_t75">
                  <v:imagedata r:id="rId19" o:detectmouseclick="t"/>
                  <v:stroke color="#3465a4" joinstyle="round" endcap="flat"/>
                  <w10:wrap type="square"/>
                </v:shape>
                <v:shape id="shape_0" ID="Picture 14" stroked="f" o:allowincell="f" style="position:absolute;left:2000;top:6526;width:1818;height:1478;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92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839"/>
        <w:gridCol w:w="1831"/>
        <w:gridCol w:w="2240"/>
        <w:gridCol w:w="2007"/>
        <w:gridCol w:w="2008"/>
      </w:tblGrid>
      <w:tr>
        <w:trPr>
          <w:trHeight w:val="605" w:hRule="atLeast"/>
        </w:trPr>
        <w:tc>
          <w:tcPr>
            <w:tcW w:w="1839"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University</w:t>
            </w:r>
          </w:p>
        </w:tc>
        <w:tc>
          <w:tcPr>
            <w:tcW w:w="1831"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40"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7"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Pros</w:t>
            </w:r>
          </w:p>
        </w:tc>
        <w:tc>
          <w:tcPr>
            <w:tcW w:w="2008"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Allows me to study Old English, Latin and Ancient Greek as well as literature from the ancient world to present and the societies that molded them – with the possibility for a semester abroad in the second year. As the degree is broad there is a wide range of subjects for a dissertation.</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Aquire language skills for foreign language teaching.</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Semester abroad doesn’t include countries where the main language isn’t english.</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No year abroad option</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Durham</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With astrong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prestidgious Classics and Ancient History department.</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far away from Gloucestershire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Less focus on the linguistic elements of Ancient History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Classics and the Ancient World with Study Abroad BA </w:t>
            </w:r>
            <w:r>
              <w:rPr>
                <w:rFonts w:cs="Arial" w:ascii="Arial" w:hAnsi="Arial"/>
                <w:kern w:val="0"/>
                <w:lang w:val="en-GB" w:eastAsia="en-US" w:bidi="ar-SA"/>
              </w:rPr>
              <w:t>(Q803)</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A four year long course with a wide array of options; from Amaric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Libaray and the Institute of Classical Studies.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Living in London is expensive and intense.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competitve university and course.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Ancient language modules are very limited for students who haven’t studied an ancient language before.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center for the Hellenic Foundation for Culture which will allow students more engagement with Greek culture – both within the UK and Greece.</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limited in scope to Ancient Greece and Classical Rome.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Again, London is inhospitable.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w:t>
            </w:r>
          </w:p>
        </w:tc>
        <w:tc>
          <w:tcPr>
            <w:tcW w:w="2007" w:type="dxa"/>
            <w:tcBorders/>
          </w:tcPr>
          <w:p>
            <w:pPr>
              <w:pStyle w:val="Normal"/>
              <w:widowControl/>
              <w:spacing w:before="0" w:after="0"/>
              <w:jc w:val="left"/>
              <w:rPr>
                <w:lang w:val="en-GB"/>
              </w:rPr>
            </w:pPr>
            <w:r>
              <w:rPr>
                <w:rFonts w:cs="Arial" w:ascii="Arial" w:hAnsi="Arial"/>
                <w:kern w:val="0"/>
                <w:lang w:val="en-GB" w:eastAsia="en-US" w:bidi="ar-SA"/>
              </w:rPr>
              <w:t>+ Interesting multidisciplinary modules, inculding gender, sexuality and osteoarchaeology (forensic archaeology).</w:t>
            </w:r>
          </w:p>
          <w:p>
            <w:pPr>
              <w:pStyle w:val="Normal"/>
              <w:widowControl/>
              <w:spacing w:before="0" w:after="0"/>
              <w:jc w:val="left"/>
              <w:rPr>
                <w:lang w:val="en-GB"/>
              </w:rPr>
            </w:pPr>
            <w:r>
              <w:rPr>
                <w:lang w:val="en-GB"/>
              </w:rPr>
            </w:r>
          </w:p>
          <w:p>
            <w:pPr>
              <w:pStyle w:val="Normal"/>
              <w:widowControl/>
              <w:spacing w:before="0" w:after="0"/>
              <w:jc w:val="left"/>
              <w:rPr>
                <w:lang w:val="en-GB"/>
              </w:rPr>
            </w:pPr>
            <w:r>
              <w:rPr>
                <w:rFonts w:cs="Arial" w:ascii="Arial" w:hAnsi="Arial"/>
                <w:kern w:val="0"/>
                <w:lang w:val="en-GB" w:eastAsia="en-US" w:bidi="ar-SA"/>
              </w:rPr>
              <w:t>+ Includes a four week long practical placement on an excavation, museum, labaratory project or archival position.</w:t>
            </w:r>
          </w:p>
          <w:p>
            <w:pPr>
              <w:pStyle w:val="Normal"/>
              <w:widowControl/>
              <w:spacing w:before="0" w:after="0"/>
              <w:jc w:val="left"/>
              <w:rPr>
                <w:lang w:val="en-GB"/>
              </w:rPr>
            </w:pPr>
            <w:r>
              <w:rPr>
                <w:lang w:val="en-GB"/>
              </w:rPr>
            </w:r>
          </w:p>
          <w:p>
            <w:pPr>
              <w:pStyle w:val="Normal"/>
              <w:widowControl/>
              <w:spacing w:before="0" w:after="0"/>
              <w:jc w:val="left"/>
              <w:rPr>
                <w:lang w:val="en-GB"/>
              </w:rPr>
            </w:pPr>
            <w:r>
              <w:rPr>
                <w:rFonts w:cs="Arial" w:ascii="Arial" w:hAnsi="Arial"/>
                <w:kern w:val="0"/>
                <w:lang w:val="en-GB" w:eastAsia="en-US" w:bidi="ar-SA"/>
              </w:rPr>
              <w:t>+Study abroad options avaliable for many European universities.</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Less focused on language and literature.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Cardiff has a small ancient history department compared to other universities.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9"/>
        <w:gridCol w:w="2298"/>
        <w:gridCol w:w="2445"/>
      </w:tblGrid>
      <w:tr>
        <w:trPr>
          <w:trHeight w:val="1075" w:hRule="atLeast"/>
        </w:trPr>
        <w:tc>
          <w:tcPr>
            <w:tcW w:w="1556"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w:t>
            </w:r>
          </w:p>
        </w:tc>
        <w:tc>
          <w:tcPr>
            <w:tcW w:w="2019"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45"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27"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List the skills, qualifications, talents, interests, attitudes, and other attributes that you consider to be positive.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skills or experience are expected in your application route that you do not currently possess or are minimal?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6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build on your strengths?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bridge any identified gaps in skills or experience?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are the potential opportunities that could open up to you as a result of obtaining this degree?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might prevent you from achieving your goal at this time?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minimise the risks associated with these potential barriers to achieving your goal?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2"/>
        <w:gridCol w:w="2801"/>
        <w:gridCol w:w="2793"/>
      </w:tblGrid>
      <w:tr>
        <w:trPr/>
        <w:tc>
          <w:tcPr>
            <w:tcW w:w="4142"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793"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b/>
          <w:bCs/>
          <w:lang w:val="en-GB"/>
        </w:rPr>
      </w:pPr>
      <w:r>
        <w:rPr>
          <w:rFonts w:cs="Arial" w:ascii="Arial" w:hAnsi="Arial"/>
          <w:b/>
          <w:bCs/>
          <w:lang w:val="en-GB"/>
        </w:rPr>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b/>
          <w:bCs/>
          <w:lang w:val="en-GB"/>
        </w:rPr>
      </w:pPr>
      <w:r>
        <w:rPr>
          <w:rFonts w:cs="Arial" w:ascii="Arial" w:hAnsi="Arial"/>
          <w:b/>
          <w:bCs/>
          <w:lang w:val="en-GB"/>
        </w:rPr>
      </w:r>
      <w:r>
        <w:br w:type="page"/>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Q2.</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Q3.</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Q4.</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Q5.</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Q6</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Q7.</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Q8.</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Q9.</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Q10.</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Q2.</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Q3.</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Q4.</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Q5.</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Q6</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Q7.</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Q8.</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Q9.</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Q10.</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lang w:val="en-GB"/>
        </w:rPr>
      </w:pPr>
      <w:r>
        <w:rPr>
          <w:lang w:val="en-GB"/>
        </w:rPr>
      </w:r>
    </w:p>
    <w:sectPr>
      <w:headerReference w:type="default" r:id="rId25"/>
      <w:headerReference w:type="first" r:id="rId26"/>
      <w:footerReference w:type="default" r:id="rId27"/>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ans">
    <w:charset w:val="01"/>
    <w:family w:val="swiss"/>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89481266"/>
    </w:sdtPr>
    <w:sdtContent>
      <w:p>
        <w:pPr>
          <w:pStyle w:val="Footer"/>
          <w:rPr>
            <w:lang w:val="en-GB"/>
          </w:rPr>
        </w:pPr>
        <w:r>
          <w:drawing>
            <wp:anchor behindDoc="1" distT="0" distB="0" distL="0" distR="0" simplePos="0" locked="0" layoutInCell="1" allowOverlap="1" relativeHeight="12">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805838"/>
    </w:sdtPr>
    <w:sdtContent>
      <w:p>
        <w:pPr>
          <w:pStyle w:val="Footer"/>
          <w:rPr>
            <w:lang w:val="en-GB"/>
          </w:rPr>
        </w:pPr>
        <w:r>
          <w:drawing>
            <wp:anchor behindDoc="1" distT="0" distB="0" distL="0" distR="0" simplePos="0" locked="0" layoutInCell="1" allowOverlap="1" relativeHeight="39">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18</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7">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6">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w="http://schemas.openxmlformats.org/wordprocessingml/2006/main">
  <w:zoom w:percent="10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bidi w:val="0"/>
      <w:spacing w:lineRule="auto" w:line="240" w:before="0" w:after="0"/>
      <w:jc w:val="left"/>
    </w:pPr>
    <w:rPr>
      <w:rFonts w:ascii="Merriweather Light" w:hAnsi="Merriweather Light" w:eastAsia="" w:eastAsiaTheme="minorEastAsia" w:cs=""/>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4.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3229</TotalTime>
  <Application>LibreOffice/7.5.6.2$Linux_X86_64 LibreOffice_project/50$Build-2</Application>
  <AppVersion>15.0000</AppVersion>
  <DocSecurity>4</DocSecurity>
  <Pages>18</Pages>
  <Words>1974</Words>
  <Characters>10624</Characters>
  <CharactersWithSpaces>12427</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2023-09-25T22:25:21Z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