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76.png" ContentType="image/png"/>
  <Override PartName="/word/media/rId73.png" ContentType="image/png"/>
  <Override PartName="/word/media/rId70.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Bottom</w:t>
      </w:r>
      <w:r>
        <w:t xml:space="preserve"> </w:t>
      </w:r>
      <w:r>
        <w:t xml:space="preserve">trawl</w:t>
      </w:r>
      <w:r>
        <w:t xml:space="preserve"> </w:t>
      </w:r>
      <w:r>
        <w:t xml:space="preserve">survey</w:t>
      </w:r>
      <w:r>
        <w:t xml:space="preserve"> </w:t>
      </w:r>
      <w:r>
        <w:t xml:space="preserve">age</w:t>
      </w:r>
      <w:r>
        <w:t xml:space="preserve"> </w:t>
      </w:r>
      <w:r>
        <w:t xml:space="preserve">and</w:t>
      </w:r>
      <w:r>
        <w:t xml:space="preserve"> </w:t>
      </w:r>
      <w:r>
        <w:t xml:space="preserve">length</w:t>
      </w:r>
      <w:r>
        <w:t xml:space="preserve"> </w:t>
      </w:r>
      <w:r>
        <w:t xml:space="preserve">composition</w:t>
      </w:r>
      <w:r>
        <w:t xml:space="preserve"> </w:t>
      </w:r>
      <w:r>
        <w:t xml:space="preserve">input</w:t>
      </w:r>
      <w:r>
        <w:t xml:space="preserve"> </w:t>
      </w:r>
      <w:r>
        <w:t xml:space="preserve">sample</w:t>
      </w:r>
      <w:r>
        <w:t xml:space="preserve"> </w:t>
      </w:r>
      <w:r>
        <w:t xml:space="preserve">sizes</w:t>
      </w:r>
      <w:r>
        <w:t xml:space="preserve"> </w:t>
      </w:r>
      <w:r>
        <w:t xml:space="preserve">for</w:t>
      </w:r>
      <w:r>
        <w:t xml:space="preserve"> </w:t>
      </w:r>
      <w:r>
        <w:t xml:space="preserve">stocks</w:t>
      </w:r>
      <w:r>
        <w:t xml:space="preserve"> </w:t>
      </w:r>
      <w:r>
        <w:t xml:space="preserve">assessed</w:t>
      </w:r>
      <w:r>
        <w:t xml:space="preserve"> </w:t>
      </w:r>
      <w:r>
        <w:t xml:space="preserve">with</w:t>
      </w:r>
      <w:r>
        <w:t xml:space="preserve"> </w:t>
      </w:r>
      <w:r>
        <w:t xml:space="preserve">statistical</w:t>
      </w:r>
      <w:r>
        <w:t xml:space="preserve"> </w:t>
      </w:r>
      <w:r>
        <w:t xml:space="preserve">catch-at-age</w:t>
      </w:r>
      <w:r>
        <w:t xml:space="preserve"> </w:t>
      </w:r>
      <w:r>
        <w:t xml:space="preserve">assessment</w:t>
      </w:r>
      <w:r>
        <w:t xml:space="preserve"> </w:t>
      </w:r>
      <w:r>
        <w:t xml:space="preserve">models</w:t>
      </w:r>
      <w:r>
        <w:t xml:space="preserve"> </w:t>
      </w:r>
      <w:r>
        <w:t xml:space="preserve">at</w:t>
      </w:r>
      <w:r>
        <w:t xml:space="preserve"> </w:t>
      </w:r>
      <w:r>
        <w:t xml:space="preserve">the</w:t>
      </w:r>
      <w:r>
        <w:t xml:space="preserve"> </w:t>
      </w:r>
      <w:r>
        <w:t xml:space="preserve">Alaska</w:t>
      </w:r>
      <w:r>
        <w:t xml:space="preserve"> </w:t>
      </w:r>
      <w:r>
        <w:t xml:space="preserve">Fisheries</w:t>
      </w:r>
      <w:r>
        <w:t xml:space="preserve"> </w:t>
      </w:r>
      <w:r>
        <w:t xml:space="preserve">Science</w:t>
      </w:r>
      <w:r>
        <w:t xml:space="preserve"> </w:t>
      </w:r>
      <w:r>
        <w:t xml:space="preserve">Center</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Matthew</w:t>
      </w:r>
      <w:r>
        <w:t xml:space="preserve"> </w:t>
      </w:r>
      <w:r>
        <w:t xml:space="preserve">Siskey</w:t>
      </w:r>
      <w:r>
        <w:rPr>
          <w:vertAlign w:val="superscript"/>
        </w:rPr>
        <w:t xml:space="preserve">4</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and</w:t>
      </w:r>
      <w:r>
        <w:t xml:space="preserve"> </w:t>
      </w:r>
      <w:r>
        <w:t xml:space="preserve">Jason</w:t>
      </w:r>
      <w:r>
        <w:t xml:space="preserve"> </w:t>
      </w:r>
      <w:r>
        <w:t xml:space="preserve">Conner</w:t>
      </w:r>
      <w:r>
        <w:rPr>
          <w:vertAlign w:val="superscript"/>
        </w:rPr>
        <w:t xml:space="preserve">3</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p>
      <w:r>
        <w:br w:type="page"/>
      </w:r>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 [methods]</w:t>
      </w:r>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p>
      <w:r>
        <w:br w:type="page"/>
      </w:r>
    </w:p>
    <w:p>
      <w:pPr>
        <w:numPr>
          <w:ilvl w:val="0"/>
          <w:numId w:val="1001"/>
        </w:numPr>
        <w:pStyle w:val="Compact"/>
      </w:pPr>
      <w:hyperlink w:anchor="abstract">
        <w:r>
          <w:rPr>
            <w:rStyle w:val="Hyperlink"/>
          </w:rPr>
          <w:t xml:space="preserve">ABSTRACT</w:t>
        </w:r>
      </w:hyperlink>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terials-and-methods">
        <w:r>
          <w:rPr>
            <w:rStyle w:val="Hyperlink"/>
          </w:rPr>
          <w:t xml:space="preserve">MATERIALS AND METHODS</w:t>
        </w:r>
      </w:hyperlink>
    </w:p>
    <w:p>
      <w:pPr>
        <w:numPr>
          <w:ilvl w:val="1"/>
          <w:numId w:val="1002"/>
        </w:numPr>
        <w:pStyle w:val="Compact"/>
      </w:pPr>
      <w:hyperlink w:anchor="survey-data">
        <w:r>
          <w:rPr>
            <w:rStyle w:val="Hyperlink"/>
          </w:rPr>
          <w:t xml:space="preserve">Survey Data</w:t>
        </w:r>
      </w:hyperlink>
    </w:p>
    <w:p>
      <w:pPr>
        <w:numPr>
          <w:ilvl w:val="1"/>
          <w:numId w:val="1002"/>
        </w:numPr>
        <w:pStyle w:val="Compact"/>
      </w:pPr>
      <w:hyperlink w:anchor="Xd8ad7f23c7ab5ea1a5be8373fea30b2e386de14">
        <w:r>
          <w:rPr>
            <w:rStyle w:val="Hyperlink"/>
          </w:rPr>
          <w:t xml:space="preserve">Expanding Length Frequency to Population Abundance-at-Length</w:t>
        </w:r>
      </w:hyperlink>
    </w:p>
    <w:p>
      <w:pPr>
        <w:numPr>
          <w:ilvl w:val="1"/>
          <w:numId w:val="1002"/>
        </w:numPr>
        <w:pStyle w:val="Compact"/>
      </w:pPr>
      <w:hyperlink w:anchor="X6d95262b46896bdc825dcb1c8faf26f14403203">
        <w:r>
          <w:rPr>
            <w:rStyle w:val="Hyperlink"/>
          </w:rPr>
          <w:t xml:space="preserve">Expanding Specimen Collections to Population Abundance-at-Age</w:t>
        </w:r>
      </w:hyperlink>
    </w:p>
    <w:p>
      <w:pPr>
        <w:numPr>
          <w:ilvl w:val="1"/>
          <w:numId w:val="1002"/>
        </w:numPr>
        <w:pStyle w:val="Compact"/>
      </w:pPr>
      <w:hyperlink w:anchor="X9d806696d317e285f11de36862fb1be375c329b">
        <w:r>
          <w:rPr>
            <w:rStyle w:val="Hyperlink"/>
          </w:rPr>
          <w:t xml:space="preserve">Bootstrap Framework for Estimating Age and Length Composition Input Sample Size</w:t>
        </w:r>
      </w:hyperlink>
    </w:p>
    <w:p>
      <w:pPr>
        <w:numPr>
          <w:ilvl w:val="1"/>
          <w:numId w:val="1002"/>
        </w:numPr>
        <w:pStyle w:val="Compact"/>
      </w:pPr>
      <w:hyperlink w:anchor="X49e5b874be9fc021dfa0f52613416c6c55da08d">
        <w:r>
          <w:rPr>
            <w:rStyle w:val="Hyperlink"/>
          </w:rPr>
          <w:t xml:space="preserve">Computing Effective and Input Sample Size</w:t>
        </w:r>
      </w:hyperlink>
    </w:p>
    <w:p>
      <w:pPr>
        <w:numPr>
          <w:ilvl w:val="0"/>
          <w:numId w:val="1001"/>
        </w:numPr>
        <w:pStyle w:val="Compact"/>
      </w:pPr>
      <w:hyperlink w:anchor="results">
        <w:r>
          <w:rPr>
            <w:rStyle w:val="Hyperlink"/>
          </w:rPr>
          <w:t xml:space="preserve">RESULTS</w:t>
        </w:r>
      </w:hyperlink>
    </w:p>
    <w:p>
      <w:pPr>
        <w:numPr>
          <w:ilvl w:val="0"/>
          <w:numId w:val="1001"/>
        </w:numPr>
        <w:pStyle w:val="Compact"/>
      </w:pPr>
      <w:hyperlink w:anchor="discussion">
        <w:r>
          <w:rPr>
            <w:rStyle w:val="Hyperlink"/>
          </w:rPr>
          <w:t xml:space="preserve">DISCUSSION</w:t>
        </w:r>
      </w:hyperlink>
    </w:p>
    <w:p>
      <w:pPr>
        <w:numPr>
          <w:ilvl w:val="0"/>
          <w:numId w:val="1001"/>
        </w:numPr>
        <w:pStyle w:val="Compact"/>
      </w:pPr>
      <w:hyperlink w:anchor="acknowledgements">
        <w:r>
          <w:rPr>
            <w:rStyle w:val="Hyperlink"/>
          </w:rPr>
          <w:t xml:space="preserve">ACKNOWLEDGEMENTS</w:t>
        </w:r>
      </w:hyperlink>
    </w:p>
    <w:p>
      <w:pPr>
        <w:numPr>
          <w:ilvl w:val="0"/>
          <w:numId w:val="1001"/>
        </w:numPr>
        <w:pStyle w:val="Compact"/>
      </w:pPr>
      <w:hyperlink w:anchor="citations">
        <w:r>
          <w:rPr>
            <w:rStyle w:val="Hyperlink"/>
          </w:rPr>
          <w:t xml:space="preserve">CITATIONS</w:t>
        </w:r>
      </w:hyperlink>
    </w:p>
    <w:p>
      <w:pPr>
        <w:numPr>
          <w:ilvl w:val="0"/>
          <w:numId w:val="1001"/>
        </w:numPr>
        <w:pStyle w:val="Compact"/>
      </w:pPr>
      <w:hyperlink w:anchor="tables">
        <w:r>
          <w:rPr>
            <w:rStyle w:val="Hyperlink"/>
          </w:rPr>
          <w:t xml:space="preserve">TABLES</w:t>
        </w:r>
      </w:hyperlink>
    </w:p>
    <w:p>
      <w:pPr>
        <w:numPr>
          <w:ilvl w:val="0"/>
          <w:numId w:val="1001"/>
        </w:numPr>
        <w:pStyle w:val="Compact"/>
      </w:pPr>
      <w:hyperlink w:anchor="figures">
        <w:r>
          <w:rPr>
            <w:rStyle w:val="Hyperlink"/>
          </w:rPr>
          <w:t xml:space="preserve">FIGURES</w:t>
        </w:r>
      </w:hyperlink>
    </w:p>
    <w:p>
      <w:r>
        <w:br w:type="page"/>
      </w:r>
    </w:p>
    <w:bookmarkEnd w:id="21"/>
    <w:bookmarkStart w:id="22" w:name="introduction"/>
    <w:p>
      <w:pPr>
        <w:pStyle w:val="Heading1"/>
      </w:pPr>
      <w:r>
        <w:t xml:space="preserve">INTRODUCTION</w:t>
      </w:r>
    </w:p>
    <w:p>
      <w:pPr>
        <w:pStyle w:val="FirstParagraph"/>
      </w:pPr>
      <w:r>
        <w:t xml:space="preserve">Under the North Pacific Fishery Management Council (NPFMC) Fishery Management Plan (FMP) for the Eastern Bering Sea, Aleutian Islands, and Gulf of Alaska, Tier 1, 2, and 3 stocks use statistical catch-at-age assessment models to estimate population and management quantities</w:t>
      </w:r>
      <w:r>
        <w:t xml:space="preserve"> </w:t>
      </w:r>
      <w:r>
        <w:t xml:space="preserve">(NPFMC 2020a, 2020b)</w:t>
      </w:r>
      <w:r>
        <w:t xml:space="preserve">.</w:t>
      </w:r>
      <w:r>
        <w:t xml:space="preserve"> </w:t>
      </w:r>
      <w:r>
        <w:t xml:space="preserve">While these models can vary in their specific implementation across stocks (i.e., due to differences in parameterization, error structures, or data availability), a critical and ubiquitous data component of this structure of assessment model is age and length composition data.</w:t>
      </w:r>
      <w:r>
        <w:t xml:space="preserve"> </w:t>
      </w:r>
      <w:r>
        <w:t xml:space="preserve">Age and length composition data are collected on both fishery-independent (e.g., bottom trawl or longline surveys) and fishery-dependent platforms, providing critical data to assessments in order to track population changes over time.</w:t>
      </w:r>
      <w:r>
        <w:t xml:space="preserve"> </w:t>
      </w:r>
      <w:r>
        <w:t xml:space="preserve">The Alaska Fisheries Science Center (AFSC) operates fishery-independent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 that provide age and length composition data to 26 stocks (or stock complexes) assessed with statistical catch-at-age models.</w:t>
      </w:r>
    </w:p>
    <w:p>
      <w:pPr>
        <w:pStyle w:val="BodyText"/>
      </w:pPr>
      <w:r>
        <w:t xml:space="preserve">At the AFSC, age and length frequency sampling from the bottom trawl surveys is used in stock assessment models in a variety of ways to inform estimates of population abundance that are subsequently used to set management quantities.</w:t>
      </w:r>
      <w:r>
        <w:t xml:space="preserve"> </w:t>
      </w:r>
      <w:r>
        <w:t xml:space="preserve">The most common use of length frequency sampling is to derive estimates of the population abundance-at-length that are used in conjunction with an age-length key to estimate population estimates at age, which are then converted to age composition estimates and fit in the model</w:t>
      </w:r>
      <w:r>
        <w:t xml:space="preserve"> </w:t>
      </w:r>
      <w:r>
        <w:t xml:space="preserve">(Monnahan et al. 2021, e.g., Spencer and Ianelli 2022)</w:t>
      </w:r>
      <w:r>
        <w:t xml:space="preserve">.</w:t>
      </w:r>
      <w:r>
        <w:t xml:space="preserve"> </w:t>
      </w:r>
      <w:r>
        <w:t xml:space="preserve">Length frequency samples are also used in many assessments in a conditional-age-at-length framework</w:t>
      </w:r>
      <w:r>
        <w:t xml:space="preserve"> </w:t>
      </w:r>
      <w:r>
        <w:t xml:space="preserve">(Rudd et al. 2021)</w:t>
      </w:r>
      <w:r>
        <w:t xml:space="preserve"> </w:t>
      </w:r>
      <w:r>
        <w:t xml:space="preserve">that both fits the length composition and enables estimation of growth internally to the assessment</w:t>
      </w:r>
      <w:r>
        <w:t xml:space="preserve"> </w:t>
      </w:r>
      <w:r>
        <w:t xml:space="preserve">(e.g., McGilliard and Palsson 2017)</w:t>
      </w:r>
      <w:r>
        <w:t xml:space="preserve">.</w:t>
      </w:r>
      <w:r>
        <w:t xml:space="preserve"> </w:t>
      </w:r>
      <w:r>
        <w:t xml:space="preserve">In some cases, where age data is not available, length frequency samples which have been expanded to population abundance-at-length estimates are used directly as composition data within the assessment</w:t>
      </w:r>
      <w:r>
        <w:t xml:space="preserve"> </w:t>
      </w:r>
      <w:r>
        <w:t xml:space="preserve">(e.g., McGilliard et al. 2019)</w:t>
      </w:r>
      <w:r>
        <w:t xml:space="preserve">.</w:t>
      </w:r>
      <w:r>
        <w:t xml:space="preserve"> </w:t>
      </w:r>
      <w:r>
        <w:t xml:space="preserve">Finally, recent developments have included using length frequency samples in a model-based framework to estimate length and age composition estimates</w:t>
      </w:r>
      <w:r>
        <w:t xml:space="preserve"> </w:t>
      </w:r>
      <w:r>
        <w:t xml:space="preserve">(Thorson and Haltuch 2019, Ianelli et al. 2021, Thompson et al. 2021)</w:t>
      </w:r>
      <w:r>
        <w:t xml:space="preserve">.</w:t>
      </w:r>
    </w:p>
    <w:p>
      <w:pPr>
        <w:pStyle w:val="BodyText"/>
      </w:pPr>
      <w:r>
        <w:t xml:space="preserve">Predominantly, the multinomial likelihood is used to fit age and length composition data at the AFSC</w:t>
      </w:r>
      <w:r>
        <w:t xml:space="preserve"> </w:t>
      </w:r>
      <w:r>
        <w:t xml:space="preserve">(e.g., Bryan and Palsson 2021)</w:t>
      </w:r>
      <w:r>
        <w:t xml:space="preserve">, while recently the Dirichlet-Multinomial has also been explored</w:t>
      </w:r>
      <w:r>
        <w:t xml:space="preserve"> </w:t>
      </w:r>
      <w:r>
        <w:t xml:space="preserve">(e.g., Barbeaux et al. 2022)</w:t>
      </w:r>
      <w:r>
        <w:t xml:space="preserve">.</w:t>
      </w:r>
      <w:r>
        <w:t xml:space="preserve"> </w:t>
      </w:r>
      <w:r>
        <w:t xml:space="preserve">A common requirement, regardless of the likelihood employed, is a pre-determination of the input sample size that is used to</w:t>
      </w:r>
      <w:r>
        <w:t xml:space="preserve"> </w:t>
      </w:r>
      <w:r>
        <w:t xml:space="preserve">‘</w:t>
      </w:r>
      <w:r>
        <w:t xml:space="preserve">weight</w:t>
      </w:r>
      <w:r>
        <w:t xml:space="preserve">’</w:t>
      </w:r>
      <w:r>
        <w:t xml:space="preserve"> </w:t>
      </w:r>
      <w:r>
        <w:t xml:space="preserve">the particular year’s age or length composition data that subsequently influences the precision of the assessment models fit.</w:t>
      </w:r>
      <w:r>
        <w:t xml:space="preserve"> </w:t>
      </w:r>
      <w:r>
        <w:t xml:space="preserve">Over the years, a variety of approaches have been used at AFSC to set the input sample size in stock assessments.</w:t>
      </w:r>
      <w:r>
        <w:t xml:space="preserve"> </w:t>
      </w:r>
      <w:r>
        <w:t xml:space="preserve">These include selecting a constant value</w:t>
      </w:r>
      <w:r>
        <w:t xml:space="preserve"> </w:t>
      </w:r>
      <w:r>
        <w:t xml:space="preserve">(e.g., Hulson et al. 2022)</w:t>
      </w:r>
      <w:r>
        <w:t xml:space="preserve">, relating the input sample size to the number of hauls from which age or length composition data was collected</w:t>
      </w:r>
      <w:r>
        <w:t xml:space="preserve"> </w:t>
      </w:r>
      <w:r>
        <w:t xml:space="preserve">(e.g., Spencer and Ianelli 2022)</w:t>
      </w:r>
      <w:r>
        <w:t xml:space="preserve">, relating the input sample size to the nominal sample size</w:t>
      </w:r>
      <w:r>
        <w:t xml:space="preserve"> </w:t>
      </w:r>
      <w:r>
        <w:t xml:space="preserve">(e.g., Hulson et al. 2021)</w:t>
      </w:r>
      <w:r>
        <w:t xml:space="preserve">, or relating the input sample size to some combination of hauls and nominal sample size</w:t>
      </w:r>
      <w:r>
        <w:t xml:space="preserve"> </w:t>
      </w:r>
      <w:r>
        <w:t xml:space="preserve">(e.g., Williams et al. 2022)</w:t>
      </w:r>
      <w:r>
        <w:t xml:space="preserve">.</w:t>
      </w:r>
      <w:r>
        <w:t xml:space="preserve"> </w:t>
      </w:r>
      <w:r>
        <w:t xml:space="preserve">Overall, there is no general or consensus method that is agreed upon at the AFSC to determine input sample size.</w:t>
      </w:r>
    </w:p>
    <w:p>
      <w:pPr>
        <w:pStyle w:val="BodyText"/>
      </w:pPr>
      <w:r>
        <w:t xml:space="preserve">Stewart and Hamel (2014)</w:t>
      </w:r>
      <w:r>
        <w:t xml:space="preserve"> </w:t>
      </w:r>
      <w:r>
        <w:t xml:space="preserve">introduced a method in which bootstrap techniques were used to resample age and length composition data that provides an estimate of the input sample size that can be used within assessment models.</w:t>
      </w:r>
      <w:r>
        <w:t xml:space="preserve"> </w:t>
      </w:r>
      <w:r>
        <w:t xml:space="preserve">The primary advantage of this method is that it provides an objective framework from which estimates of input sample size are obtained that mimic the sampling design employed, either on a fishery-independent survey or on fishery-dependent platforms.</w:t>
      </w:r>
      <w:r>
        <w:t xml:space="preserve"> </w:t>
      </w:r>
      <w:r>
        <w:t xml:space="preserve">Here, we apply the methods of</w:t>
      </w:r>
      <w:r>
        <w:t xml:space="preserve"> </w:t>
      </w:r>
      <w:r>
        <w:t xml:space="preserve">Stewart and Hamel (2014)</w:t>
      </w:r>
      <w:r>
        <w:t xml:space="preserve"> </w:t>
      </w:r>
      <w:r>
        <w:t xml:space="preserve">to obtain historical estimates of input sample size for age and length composition data obtained by the AFSC bottom trawl surveys in the EBS, AI, and GOA for all stocks assessed at AFSC with statistical catch-at-age assessment models.</w:t>
      </w:r>
      <w:r>
        <w:t xml:space="preserve"> </w:t>
      </w:r>
      <w:r>
        <w:t xml:space="preserve">The main objectives of this technical memorandum are to 1) document methods used by AFSC for expanding length and age collections to population abundance estimates (which are subsequently used as composition data in stock assessments), 2) present stock-specific results of historical input samples size from AFSC bottom trawl surveys for Tier</w:t>
      </w:r>
      <w:r>
        <w:t xml:space="preserve"> </w:t>
      </w:r>
      <m:oMath>
        <m:r>
          <m:rPr>
            <m:sty m:val="p"/>
          </m:rPr>
          <m:t>≥</m:t>
        </m:r>
      </m:oMath>
      <w:r>
        <w:t xml:space="preserve"> </w:t>
      </w:r>
      <w:r>
        <w:t xml:space="preserve">3 stocks, and 3) record methods for estimating input sample sizes of survey-based age and length compositions using a two-stage bootstrapping approach.</w:t>
      </w:r>
    </w:p>
    <w:bookmarkEnd w:id="22"/>
    <w:bookmarkStart w:id="29" w:name="materials-and-methods"/>
    <w:p>
      <w:pPr>
        <w:pStyle w:val="Heading1"/>
      </w:pPr>
      <w:r>
        <w:t xml:space="preserve">MATERIALS AND METHODS</w:t>
      </w:r>
    </w:p>
    <w:bookmarkStart w:id="23" w:name="survey-data"/>
    <w:p>
      <w:pPr>
        <w:pStyle w:val="Heading2"/>
      </w:pPr>
      <w:r>
        <w:t xml:space="preserve">Survey Data</w:t>
      </w:r>
    </w:p>
    <w:p>
      <w:pPr>
        <w:pStyle w:val="FirstParagraph"/>
      </w:pPr>
      <w:r>
        <w:t xml:space="preserve">Data collection for each AFSC groundfish survey is described in respective NOAA Technical Memorandum</w:t>
      </w:r>
      <w:r>
        <w:t xml:space="preserve"> </w:t>
      </w:r>
      <w:r>
        <w:t xml:space="preserve">(EBS: Lauth et al. 2019, AI: von Szalay et al. 2017, GOA: von Szalay and Raring 2018)</w:t>
      </w:r>
      <w:r>
        <w:t xml:space="preserve">.</w:t>
      </w:r>
      <w:r>
        <w:t xml:space="preserve"> </w:t>
      </w:r>
      <w:r>
        <w:t xml:space="preserve">Length frequency protocols and recent analysis of sex-specific length frequency data are further described in</w:t>
      </w:r>
      <w:r>
        <w:t xml:space="preserve"> </w:t>
      </w:r>
      <w:r>
        <w:t xml:space="preserve">Hulson et al. (2023)</w:t>
      </w:r>
      <w:r>
        <w:t xml:space="preserve">.</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w:t>
      </w:r>
      <w:r>
        <w:t xml:space="preserve"> </w:t>
      </w:r>
      <w:r>
        <w:t xml:space="preserve">The protocol for some species has changed over the time series, which has followed a trend of transitioning from protocol 1) to protocol 2).</w:t>
      </w:r>
      <w:r>
        <w:t xml:space="preserve"> </w:t>
      </w:r>
      <w:r>
        <w:t xml:space="preserve">Species within each survey that are assessed with statistical catch-at-age models were selected to be included in this analysis (Tier</w:t>
      </w:r>
      <w:r>
        <w:t xml:space="preserve"> </w:t>
      </w:r>
      <m:oMath>
        <m:r>
          <m:rPr>
            <m:sty m:val="p"/>
          </m:rPr>
          <m:t>≥</m:t>
        </m:r>
      </m:oMath>
      <w:r>
        <w:t xml:space="preserve"> </w:t>
      </w:r>
      <w:r>
        <w:t xml:space="preserve">3 stock assessments, Table</w:t>
      </w:r>
      <w:r>
        <w:t xml:space="preserve"> </w:t>
      </w:r>
      <w:r>
        <w:t xml:space="preserve">1</w:t>
      </w:r>
      <w:r>
        <w:t xml:space="preserve">).</w:t>
      </w:r>
      <w:r>
        <w:t xml:space="preserve"> </w:t>
      </w:r>
      <w:r>
        <w:t xml:space="preserve">Data from AFSC bottom trawl surveys conducted in the EBS shelf (1982 to present), EBS slope (2002, 2004, 2008, 2010, 2012, and 2016), AI (1991 to present), and GOA (1990 to present) were used to estimate input sample size for each of these stock assessments in this study.</w:t>
      </w:r>
    </w:p>
    <w:bookmarkEnd w:id="23"/>
    <w:bookmarkStart w:id="24" w:name="Xd8ad7f23c7ab5ea1a5be8373fea30b2e386de14"/>
    <w:p>
      <w:pPr>
        <w:pStyle w:val="Heading2"/>
      </w:pPr>
      <w:r>
        <w:t xml:space="preserve">Expanding Length Frequency to Population Abundance-at-Length</w:t>
      </w:r>
    </w:p>
    <w:p>
      <w:pPr>
        <w:pStyle w:val="FirstParagraph"/>
      </w:pPr>
      <w:r>
        <w:t xml:space="preserve">Length frequency samples collected by the AFSC bottom trawl surveys are expanded by catch and stratum area to obtain estimates of population abundance-at-length</w:t>
      </w:r>
      <w:r>
        <w:t xml:space="preserve"> </w:t>
      </w:r>
      <w:r>
        <w:t xml:space="preserve">(this approach is also detailed in Hulson et al. 2023, we include the description here as well in order to provide a source for both the length and age expansions for reference)</w:t>
      </w:r>
      <w:r>
        <w:t xml:space="preserve">.</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w:t>
      </w:r>
      <w:r>
        <w:t xml:space="preserve">.</w:t>
      </w:r>
      <w:r>
        <w:t xml:space="preserve"> </w:t>
      </w:r>
      <w:r>
        <w:t xml:space="preserve">Population abundance-at-length are computed for three sex categories: males, females, and unsexed at the stratum level, which are then summed across stratum to obtain the population abundance-at-length for the management-scale region (i.e., EBS, AI, or GOA), these can also be summed to any sub-region level.</w:t>
      </w:r>
    </w:p>
    <w:p>
      <w:pPr>
        <w:pStyle w:val="BodyText"/>
      </w:pPr>
      <w:r>
        <w:t xml:space="preserve">In the first step of this process we compute the overall population numbers in year-</w:t>
      </w:r>
      <w:r>
        <w:rPr>
          <w:iCs/>
          <w:i/>
        </w:rPr>
        <w:t xml:space="preserve">y</w:t>
      </w:r>
      <w:r>
        <w:t xml:space="preserve"> </w:t>
      </w:r>
      <w:r>
        <w:t xml:space="preserve">within stratum-</w:t>
      </w:r>
      <w:r>
        <w:rPr>
          <w:iCs/>
          <w:i/>
        </w:rPr>
        <w:t xml:space="preserve">st</w:t>
      </w:r>
      <w:r>
        <w:t xml:space="preserve"> </w:t>
      </w:r>
      <w:r>
        <w:t xml:space="preserve">(</w:t>
      </w:r>
      <m:oMath>
        <m:sSub>
          <m:e>
            <m:acc>
              <m:accPr>
                <m:chr m:val="̂"/>
              </m:accPr>
              <m:e>
                <m:r>
                  <m:t>N</m:t>
                </m:r>
              </m:e>
            </m:acc>
          </m:e>
          <m:sub>
            <m:r>
              <m:t>s</m:t>
            </m:r>
            <m:r>
              <m:t>t</m:t>
            </m:r>
            <m:r>
              <m:rPr>
                <m:sty m:val="p"/>
              </m:rPr>
              <m:t>,</m:t>
            </m:r>
            <m:r>
              <m:t>y</m:t>
            </m:r>
          </m:sub>
        </m:sSub>
      </m:oMath>
      <w:r>
        <w:t xml:space="preserve">) with:</w:t>
      </w:r>
    </w:p>
    <w:p>
      <w:pPr>
        <w:pStyle w:val="BodyText"/>
      </w:pPr>
      <m:oMathPara>
        <m:oMathParaPr>
          <m:jc m:val="center"/>
        </m:oMathParaPr>
        <m:oMath>
          <m:sSub>
            <m:e>
              <m:acc>
                <m:accPr>
                  <m:chr m:val="̂"/>
                </m:accPr>
                <m:e>
                  <m:r>
                    <m:t>N</m:t>
                  </m:r>
                </m:e>
              </m:acc>
            </m:e>
            <m:sub>
              <m:r>
                <m:t>s</m:t>
              </m:r>
              <m:r>
                <m:t>t</m:t>
              </m:r>
              <m:r>
                <m:rPr>
                  <m:sty m:val="p"/>
                </m:rPr>
                <m:t>,</m:t>
              </m:r>
              <m:r>
                <m:t>y</m:t>
              </m:r>
            </m:sub>
          </m:sSub>
          <m:r>
            <m:rPr>
              <m:sty m:val="p"/>
            </m:rPr>
            <m:t>=</m:t>
          </m:r>
          <m:sSub>
            <m:e>
              <m:bar>
                <m:barPr>
                  <m:pos m:val="top"/>
                </m:barPr>
                <m:e>
                  <m:r>
                    <m:t>C</m:t>
                  </m:r>
                  <m:r>
                    <m:t>P</m:t>
                  </m:r>
                  <m:r>
                    <m:t>U</m:t>
                  </m:r>
                  <m:r>
                    <m:t>E</m:t>
                  </m:r>
                </m:e>
              </m:bar>
            </m:e>
            <m:sub>
              <m:r>
                <m:t>s</m:t>
              </m:r>
              <m:r>
                <m:t>t</m:t>
              </m:r>
              <m:r>
                <m:rPr>
                  <m:sty m:val="p"/>
                </m:rPr>
                <m:t>,</m:t>
              </m:r>
              <m:r>
                <m:t>y</m:t>
              </m:r>
            </m:sub>
          </m:sSub>
          <m:r>
            <m:rPr>
              <m:sty m:val="p"/>
            </m:rPr>
            <m:t>⋅</m:t>
          </m:r>
          <m:sSub>
            <m:e>
              <m:r>
                <m:t>A</m:t>
              </m:r>
            </m:e>
            <m:sub>
              <m:r>
                <m:t>s</m:t>
              </m:r>
              <m:r>
                <m:t>t</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r>
              <m:t>t</m:t>
            </m:r>
          </m:sub>
        </m:sSub>
      </m:oMath>
      <w:r>
        <w:t xml:space="preserve"> </w:t>
      </w:r>
      <w:r>
        <w:t xml:space="preserve">is the area of stratum-</w:t>
      </w:r>
      <w:r>
        <w:rPr>
          <w:iCs/>
          <w:i/>
        </w:rPr>
        <w:t xml:space="preserve">st</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t>t</m:t>
            </m:r>
            <m:r>
              <m:rPr>
                <m:sty m:val="p"/>
              </m:rPr>
              <m:t>,</m:t>
            </m:r>
            <m:r>
              <m:t>y</m:t>
            </m:r>
          </m:sub>
        </m:sSub>
      </m:oMath>
      <w:r>
        <w:t xml:space="preserve"> </w:t>
      </w:r>
      <w:r>
        <w:t xml:space="preserve">is the average catch per unit effort of numbers captured across the hauls within a strata, given by:</w:t>
      </w:r>
    </w:p>
    <w:p>
      <w:pPr>
        <w:pStyle w:val="BodyText"/>
      </w:pPr>
      <m:oMathPara>
        <m:oMathParaPr>
          <m:jc m:val="center"/>
        </m:oMathParaPr>
        <m:oMath>
          <m:sSub>
            <m:e>
              <m:bar>
                <m:barPr>
                  <m:pos m:val="top"/>
                </m:barPr>
                <m:e>
                  <m:r>
                    <m:t>C</m:t>
                  </m:r>
                  <m:r>
                    <m:t>P</m:t>
                  </m:r>
                  <m:r>
                    <m:t>U</m:t>
                  </m:r>
                  <m:r>
                    <m:t>E</m:t>
                  </m:r>
                </m:e>
              </m:bar>
            </m:e>
            <m:sub>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r>
                <m:t>C</m:t>
              </m:r>
            </m:e>
          </m:nary>
          <m:r>
            <m:t>P</m:t>
          </m:r>
          <m:r>
            <m:t>U</m:t>
          </m:r>
          <m:sSub>
            <m:e>
              <m:r>
                <m:t>E</m:t>
              </m:r>
            </m:e>
            <m:sub>
              <m:r>
                <m:t>h</m:t>
              </m:r>
              <m:r>
                <m:rPr>
                  <m:sty m:val="p"/>
                </m:rPr>
                <m:t>,</m:t>
              </m:r>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f>
                <m:fPr>
                  <m:type m:val="bar"/>
                </m:fPr>
                <m:num>
                  <m:sSub>
                    <m:e>
                      <m:r>
                        <m:t>n</m:t>
                      </m:r>
                    </m:e>
                    <m:sub>
                      <m:r>
                        <m:t>h</m:t>
                      </m:r>
                      <m:r>
                        <m:rPr>
                          <m:sty m:val="p"/>
                        </m:rPr>
                        <m:t>,</m:t>
                      </m:r>
                      <m:r>
                        <m:t>s</m:t>
                      </m:r>
                      <m:r>
                        <m:t>t</m:t>
                      </m:r>
                      <m:r>
                        <m:rPr>
                          <m:sty m:val="p"/>
                        </m:rPr>
                        <m:t>,</m:t>
                      </m:r>
                      <m:r>
                        <m:t>y</m:t>
                      </m:r>
                    </m:sub>
                  </m:sSub>
                </m:num>
                <m:den>
                  <m:sSub>
                    <m:e>
                      <m:r>
                        <m:t>E</m:t>
                      </m:r>
                    </m:e>
                    <m:sub>
                      <m:r>
                        <m:t>h</m:t>
                      </m:r>
                      <m:r>
                        <m:rPr>
                          <m:sty m:val="p"/>
                        </m:rPr>
                        <m:t>,</m:t>
                      </m:r>
                      <m:r>
                        <m:t>s</m:t>
                      </m:r>
                      <m:r>
                        <m:t>t</m:t>
                      </m:r>
                      <m:r>
                        <m:rPr>
                          <m:sty m:val="p"/>
                        </m:rPr>
                        <m:t>,</m:t>
                      </m:r>
                      <m:r>
                        <m:t>y</m:t>
                      </m:r>
                    </m:sub>
                  </m:sSub>
                </m:den>
              </m:f>
            </m:e>
          </m:nary>
          <m:r>
            <m:t>  </m:t>
          </m:r>
          <m:d>
            <m:dPr>
              <m:begChr m:val="("/>
              <m:endChr m:val=")"/>
              <m:sepChr m:val=""/>
              <m:grow/>
            </m:dPr>
            <m:e>
              <m:r>
                <m:t>2</m:t>
              </m:r>
            </m:e>
          </m:d>
        </m:oMath>
      </m:oMathPara>
    </w:p>
    <w:p>
      <w:pPr>
        <w:pStyle w:val="FirstParagraph"/>
      </w:pPr>
      <w:r>
        <w:t xml:space="preserve">where</w:t>
      </w:r>
      <w:r>
        <w:t xml:space="preserve"> </w:t>
      </w:r>
      <m:oMath>
        <m:sSub>
          <m:e>
            <m:r>
              <m:t>H</m:t>
            </m:r>
          </m:e>
          <m:sub>
            <m:r>
              <m:t>s</m:t>
            </m:r>
            <m:r>
              <m:t>t</m:t>
            </m:r>
            <m:r>
              <m:rPr>
                <m:sty m:val="p"/>
              </m:rPr>
              <m:t>,</m:t>
            </m:r>
            <m:r>
              <m:t>y</m:t>
            </m:r>
          </m:sub>
        </m:sSub>
      </m:oMath>
      <w:r>
        <w:t xml:space="preserve"> </w:t>
      </w:r>
      <w:r>
        <w:t xml:space="preserve">is the number of hauls,</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m:oMath>
        <m:sSub>
          <m:e>
            <m:r>
              <m:t>n</m:t>
            </m:r>
          </m:e>
          <m:sub>
            <m:r>
              <m:t>h</m:t>
            </m:r>
            <m:r>
              <m:rPr>
                <m:sty m:val="p"/>
              </m:rPr>
              <m:t>,</m:t>
            </m:r>
            <m:r>
              <m:t>s</m:t>
            </m:r>
            <m:r>
              <m:t>t</m:t>
            </m:r>
            <m:r>
              <m:rPr>
                <m:sty m:val="p"/>
              </m:rPr>
              <m:t>,</m:t>
            </m:r>
            <m:r>
              <m:t>y</m:t>
            </m:r>
          </m:sub>
        </m:sSub>
      </m:oMath>
      <w:r>
        <w:t xml:space="preserve"> </w:t>
      </w:r>
      <w:r>
        <w:t xml:space="preserve">is the catch (in numbers) in haul-</w:t>
      </w:r>
      <w:r>
        <w:rPr>
          <w:iCs/>
          <w:i/>
        </w:rPr>
        <w:t xml:space="preserve">h</w:t>
      </w:r>
      <w:r>
        <w:t xml:space="preserve">, and</w:t>
      </w:r>
      <w:r>
        <w:t xml:space="preserve"> </w:t>
      </w:r>
      <m:oMath>
        <m:sSub>
          <m:e>
            <m:r>
              <m:t>E</m:t>
            </m:r>
          </m:e>
          <m:sub>
            <m:r>
              <m:t>h</m:t>
            </m:r>
            <m:r>
              <m:rPr>
                <m:sty m:val="p"/>
              </m:rPr>
              <m:t>,</m:t>
            </m:r>
            <m:r>
              <m:t>s</m:t>
            </m:r>
            <m:r>
              <m:t>t</m:t>
            </m:r>
            <m:r>
              <m:rPr>
                <m:sty m:val="p"/>
              </m:rPr>
              <m:t>,</m:t>
            </m:r>
            <m:r>
              <m:t>y</m:t>
            </m:r>
          </m:sub>
        </m:sSub>
      </m:oMath>
      <w:r>
        <w:t xml:space="preserve"> </w:t>
      </w:r>
      <w:r>
        <w:t xml:space="preserve">is the effort in haul-</w:t>
      </w:r>
      <w:r>
        <w:rPr>
          <w:iCs/>
          <w:i/>
        </w:rPr>
        <w:t xml:space="preserve">h</w:t>
      </w:r>
      <w:r>
        <w:t xml:space="preserve">, which is computed as the net width multiplied by the time on bottom, or, the area swept by the haul (in km</w:t>
      </w:r>
      <w:r>
        <w:rPr>
          <w:vertAlign w:val="superscript"/>
        </w:rPr>
        <w:t xml:space="preserve">2</w:t>
      </w:r>
      <w:r>
        <w:t xml:space="preserve">).</w:t>
      </w:r>
      <w:r>
        <w:t xml:space="preserve"> </w:t>
      </w:r>
      <w:r>
        <w:t xml:space="preserve">Next, the ratio of catch per unit effort among hauls (</w:t>
      </w: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f>
            <m:fPr>
              <m:type m:val="bar"/>
            </m:fPr>
            <m:num>
              <m:r>
                <m:t>C</m:t>
              </m:r>
              <m:r>
                <m:t>P</m:t>
              </m:r>
              <m:r>
                <m:t>U</m:t>
              </m:r>
              <m:sSub>
                <m:e>
                  <m:r>
                    <m:t>E</m:t>
                  </m:r>
                </m:e>
                <m:sub>
                  <m:r>
                    <m:t>h</m:t>
                  </m:r>
                  <m:r>
                    <m:rPr>
                      <m:sty m:val="p"/>
                    </m:rPr>
                    <m:t>,</m:t>
                  </m:r>
                  <m:r>
                    <m:t>s</m:t>
                  </m:r>
                  <m:r>
                    <m:t>t</m:t>
                  </m:r>
                  <m:r>
                    <m:rPr>
                      <m:sty m:val="p"/>
                    </m:rPr>
                    <m:t>,</m:t>
                  </m:r>
                  <m:r>
                    <m:t>y</m:t>
                  </m:r>
                </m:sub>
              </m:sSub>
            </m:num>
            <m:den>
              <m:nary>
                <m:naryPr>
                  <m:chr m:val="∑"/>
                  <m:limLoc m:val="undOvr"/>
                  <m:subHide m:val="0"/>
                  <m:supHide m:val="0"/>
                </m:naryPr>
                <m:sub>
                  <m:r>
                    <m:t>h</m:t>
                  </m:r>
                  <m:r>
                    <m:rPr>
                      <m:sty m:val="p"/>
                    </m:rPr>
                    <m:t>=</m:t>
                  </m:r>
                  <m:r>
                    <m:t>1</m:t>
                  </m:r>
                </m:sub>
                <m:sup>
                  <m:sSub>
                    <m:e>
                      <m:r>
                        <m:t>H</m:t>
                      </m:r>
                    </m:e>
                    <m:sub>
                      <m:r>
                        <m:t>s</m:t>
                      </m:r>
                      <m:r>
                        <m:t>y</m:t>
                      </m:r>
                      <m:r>
                        <m:rPr>
                          <m:sty m:val="p"/>
                        </m:rPr>
                        <m:t>,</m:t>
                      </m:r>
                      <m:r>
                        <m:t>y</m:t>
                      </m:r>
                    </m:sub>
                  </m:sSub>
                </m:sup>
                <m:e>
                  <m:r>
                    <m:t>C</m:t>
                  </m:r>
                </m:e>
              </m:nary>
              <m:r>
                <m:t>P</m:t>
              </m:r>
              <m:r>
                <m:t>U</m:t>
              </m:r>
              <m:sSub>
                <m:e>
                  <m:r>
                    <m:t>E</m:t>
                  </m:r>
                </m:e>
                <m:sub>
                  <m:r>
                    <m:t>h</m:t>
                  </m:r>
                  <m:r>
                    <m:rPr>
                      <m:sty m:val="p"/>
                    </m:rPr>
                    <m:t>,</m:t>
                  </m:r>
                  <m:r>
                    <m:t>s</m:t>
                  </m:r>
                  <m:r>
                    <m:t>t</m:t>
                  </m:r>
                  <m:r>
                    <m:rPr>
                      <m:sty m:val="p"/>
                    </m:rPr>
                    <m:t>,</m:t>
                  </m:r>
                  <m:r>
                    <m:t>y</m:t>
                  </m:r>
                </m:sub>
              </m:sSub>
            </m:den>
          </m:f>
          <m:r>
            <m:t>  </m:t>
          </m:r>
          <m:d>
            <m:dPr>
              <m:begChr m:val="("/>
              <m:endChr m:val=")"/>
              <m:sepChr m:val=""/>
              <m:grow/>
            </m:dPr>
            <m:e>
              <m:r>
                <m:t>3</m:t>
              </m:r>
            </m:e>
          </m:d>
        </m:oMath>
      </m:oMathPara>
    </w:p>
    <w:p>
      <w:pPr>
        <w:pStyle w:val="FirstParagraph"/>
      </w:pPr>
      <w:r>
        <w:t xml:space="preserve">where</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w:r>
        <w:t xml:space="preserve">We then compute the sex-specific ratio of the total number of lengths sampled within a haul by length (</w:t>
      </w: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oMath>
      <w:r>
        <w:t xml:space="preserve">) with:</w:t>
      </w:r>
    </w:p>
    <w:p>
      <w:pPr>
        <w:pStyle w:val="BodyText"/>
      </w:pPr>
      <m:oMathPara>
        <m:oMathParaPr>
          <m:jc m:val="center"/>
        </m:oMathParaP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r>
            <m:rPr>
              <m:sty m:val="p"/>
            </m:rPr>
            <m:t>=</m:t>
          </m:r>
          <m:d>
            <m:dPr>
              <m:begChr m:val="{"/>
              <m:endChr m:val=""/>
              <m:sepChr m:val=""/>
              <m:grow/>
            </m:dPr>
            <m:e>
              <m:m>
                <m:mPr>
                  <m:baseJc m:val="center"/>
                  <m:plcHide m:val="1"/>
                  <m:mcs>
                    <m:mc>
                      <m:mcPr>
                        <m:mcJc m:val="left"/>
                        <m:count m:val="1"/>
                      </m:mcPr>
                    </m:mc>
                  </m:mcs>
                </m:mPr>
                <m:mr>
                  <m:e>
                    <m:d>
                      <m:dPr>
                        <m:begChr m:val="("/>
                        <m:endChr m:val=")"/>
                        <m:sepChr m:val=""/>
                        <m:grow/>
                      </m:dPr>
                      <m:e>
                        <m:r>
                          <m:t>1</m:t>
                        </m:r>
                      </m:e>
                    </m:d>
                    <m:f>
                      <m:fPr>
                        <m:type m:val="bar"/>
                      </m:fPr>
                      <m:num>
                        <m:sSub>
                          <m:e>
                            <m:r>
                              <m:t>N</m:t>
                            </m:r>
                          </m:e>
                          <m:sub>
                            <m:r>
                              <m:t>s</m:t>
                            </m:r>
                            <m:r>
                              <m:t>x</m:t>
                            </m:r>
                            <m:r>
                              <m:rPr>
                                <m:sty m:val="p"/>
                              </m:rPr>
                              <m:t>,</m:t>
                            </m:r>
                            <m:r>
                              <m:t>l</m:t>
                            </m:r>
                            <m:r>
                              <m:rPr>
                                <m:sty m:val="p"/>
                              </m:rPr>
                              <m:t>,</m:t>
                            </m:r>
                            <m:r>
                              <m:t>h</m:t>
                            </m:r>
                            <m:r>
                              <m:rPr>
                                <m:sty m:val="p"/>
                              </m:rPr>
                              <m:t>,</m:t>
                            </m:r>
                            <m:r>
                              <m:t>s</m:t>
                            </m:r>
                            <m:r>
                              <m:t>t</m:t>
                            </m:r>
                            <m:r>
                              <m:rPr>
                                <m:sty m:val="p"/>
                              </m:rPr>
                              <m:t>,</m:t>
                            </m:r>
                            <m:r>
                              <m:t>y</m:t>
                            </m:r>
                          </m:sub>
                        </m:sSub>
                      </m:num>
                      <m:den>
                        <m:sSub>
                          <m:e>
                            <m:r>
                              <m:t>N</m:t>
                            </m:r>
                          </m:e>
                          <m:sub>
                            <m:r>
                              <m:t>h</m:t>
                            </m:r>
                            <m:r>
                              <m:rPr>
                                <m:sty m:val="p"/>
                              </m:rPr>
                              <m:t>,</m:t>
                            </m:r>
                            <m:r>
                              <m:t>s</m:t>
                            </m:r>
                            <m:r>
                              <m:t>t</m:t>
                            </m:r>
                            <m:r>
                              <m:rPr>
                                <m:sty m:val="p"/>
                              </m:rPr>
                              <m:t>,</m:t>
                            </m:r>
                            <m:r>
                              <m:t>y</m:t>
                            </m:r>
                          </m:sub>
                        </m:sSub>
                      </m:den>
                    </m:f>
                  </m:e>
                </m:mr>
                <m:mr>
                  <m:e>
                    <m:d>
                      <m:dPr>
                        <m:begChr m:val="("/>
                        <m:endChr m:val=")"/>
                        <m:sepChr m:val=""/>
                        <m:grow/>
                      </m:dPr>
                      <m:e>
                        <m:r>
                          <m:t>2</m:t>
                        </m:r>
                      </m:e>
                    </m:d>
                    <m:f>
                      <m:fPr>
                        <m:type m:val="bar"/>
                      </m:fPr>
                      <m:num>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num>
                      <m:den>
                        <m:nary>
                          <m:naryPr>
                            <m:chr m:val="∑"/>
                            <m:limLoc m:val="undOvr"/>
                            <m:subHide m:val="0"/>
                            <m:supHide m:val="0"/>
                          </m:naryPr>
                          <m:sub>
                            <m:r>
                              <m:t>s</m:t>
                            </m:r>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e>
                            </m:nary>
                          </m:e>
                        </m:nary>
                      </m:den>
                    </m:f>
                  </m:e>
                </m:mr>
              </m:m>
            </m:e>
          </m:d>
          <m:r>
            <m:t>  </m:t>
          </m:r>
          <m:d>
            <m:dPr>
              <m:begChr m:val="("/>
              <m:endChr m:val=")"/>
              <m:sepChr m:val=""/>
              <m:grow/>
            </m:dPr>
            <m:e>
              <m:r>
                <m:t>4</m:t>
              </m:r>
            </m:e>
          </m:d>
        </m:oMath>
      </m:oMathPara>
    </w:p>
    <w:p>
      <w:pPr>
        <w:pStyle w:val="FirstParagraph"/>
      </w:pPr>
      <w:r>
        <w:t xml:space="preserve">where</w:t>
      </w:r>
      <w:r>
        <w:t xml:space="preserve"> </w:t>
      </w:r>
      <m:oMath>
        <m:sSub>
          <m:e>
            <m:r>
              <m:t>N</m:t>
            </m:r>
          </m:e>
          <m:sub>
            <m:r>
              <m:t>s</m:t>
            </m:r>
            <m:r>
              <m:t>x</m:t>
            </m:r>
            <m:r>
              <m:rPr>
                <m:sty m:val="p"/>
              </m:rPr>
              <m:t>,</m:t>
            </m:r>
            <m:r>
              <m:t>l</m:t>
            </m:r>
            <m:r>
              <m:rPr>
                <m:sty m:val="p"/>
              </m:rPr>
              <m:t>,</m:t>
            </m:r>
            <m:r>
              <m:t>h</m:t>
            </m:r>
            <m:r>
              <m:rPr>
                <m:sty m:val="p"/>
              </m:rPr>
              <m:t>,</m:t>
            </m:r>
            <m:r>
              <m:t>s</m:t>
            </m:r>
            <m:r>
              <m:t>t</m:t>
            </m:r>
            <m:r>
              <m:rPr>
                <m:sty m:val="p"/>
              </m:rPr>
              <m:t>,</m:t>
            </m:r>
            <m:r>
              <m:t>y</m:t>
            </m:r>
          </m:sub>
        </m:sSub>
      </m:oMath>
      <w:r>
        <w:t xml:space="preserve"> </w:t>
      </w:r>
      <w:r>
        <w:t xml:space="preserve">is the length frequency sampled, in numbers, by sex-</w:t>
      </w:r>
      <w:r>
        <w:rPr>
          <w:iCs/>
          <w:i/>
        </w:rPr>
        <w:t xml:space="preserve">sx</w:t>
      </w:r>
      <w:r>
        <w:t xml:space="preserve"> </w:t>
      </w:r>
      <w:r>
        <w:t xml:space="preserve">and length-</w:t>
      </w:r>
      <w:r>
        <w:rPr>
          <w:iCs/>
          <w:i/>
        </w:rPr>
        <w:t xml:space="preserve">l</w:t>
      </w:r>
      <w:r>
        <w:t xml:space="preserve">.</w:t>
      </w:r>
      <w:r>
        <w:t xml:space="preserve"> </w:t>
      </w:r>
      <w:r>
        <w:t xml:space="preserve">In some cases there are hauls that have catch for a species but did not collect length frequency data, in this case (2) is applied in order to account for the unknown length frequency in these hauls, otherwise, if length frequency samples are obtained case (1) is applied.</w:t>
      </w:r>
      <w:r>
        <w:t xml:space="preserve"> </w:t>
      </w:r>
      <w:r>
        <w:t xml:space="preserve">Finally, we estimate the sex-specific population abundance-at-length within strata-st with:</w:t>
      </w:r>
    </w:p>
    <w:p>
      <w:pPr>
        <w:pStyle w:val="BodyText"/>
      </w:pPr>
      <m:oMathPara>
        <m:oMathParaPr>
          <m:jc m:val="center"/>
        </m:oMathParaPr>
        <m:oMath>
          <m:sSub>
            <m:e>
              <m:acc>
                <m:accPr>
                  <m:chr m:val="̂"/>
                </m:accPr>
                <m:e>
                  <m:r>
                    <m:t>N</m:t>
                  </m:r>
                </m:e>
              </m:acc>
            </m:e>
            <m:sub>
              <m:r>
                <m:t>s</m:t>
              </m:r>
              <m:r>
                <m:t>x</m:t>
              </m:r>
              <m:r>
                <m:rPr>
                  <m:sty m:val="p"/>
                </m:rPr>
                <m:t>,</m:t>
              </m:r>
              <m:r>
                <m:t>l</m:t>
              </m:r>
              <m:r>
                <m:rPr>
                  <m:sty m:val="p"/>
                </m:rPr>
                <m:t>,</m:t>
              </m:r>
              <m:r>
                <m:t>s</m:t>
              </m:r>
              <m:r>
                <m:t>t</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acc>
                        <m:accPr>
                          <m:chr m:val="̂"/>
                        </m:accPr>
                        <m:e>
                          <m:r>
                            <m:t>N</m:t>
                          </m:r>
                        </m:e>
                      </m:acc>
                    </m:e>
                    <m:sub>
                      <m:r>
                        <m:t>s</m:t>
                      </m:r>
                      <m:r>
                        <m:t>t</m:t>
                      </m:r>
                      <m:r>
                        <m:rPr>
                          <m:sty m:val="p"/>
                        </m:rPr>
                        <m:t>,</m:t>
                      </m:r>
                      <m:r>
                        <m:t>y</m:t>
                      </m:r>
                    </m:sub>
                  </m:sSub>
                  <m:r>
                    <m:rPr>
                      <m:sty m:val="p"/>
                    </m:rPr>
                    <m:t>⋅</m:t>
                  </m:r>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e>
              </m:d>
            </m:e>
          </m:nary>
          <m:r>
            <m:t>  </m:t>
          </m:r>
          <m:d>
            <m:dPr>
              <m:begChr m:val="("/>
              <m:endChr m:val=")"/>
              <m:sepChr m:val=""/>
              <m:grow/>
            </m:dPr>
            <m:e>
              <m:r>
                <m:t>5</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s</m:t>
            </m:r>
            <m:r>
              <m:t>x</m:t>
            </m:r>
            <m:r>
              <m:rPr>
                <m:sty m:val="p"/>
              </m:rPr>
              <m:t>,</m:t>
            </m:r>
            <m:r>
              <m:t>l</m:t>
            </m:r>
            <m:r>
              <m:rPr>
                <m:sty m:val="p"/>
              </m:rPr>
              <m:t>,</m:t>
            </m:r>
            <m:r>
              <m:t>s</m:t>
            </m:r>
            <m:r>
              <m:t>t</m:t>
            </m:r>
            <m:r>
              <m:rPr>
                <m:sty m:val="p"/>
              </m:rPr>
              <m:t>,</m:t>
            </m:r>
            <m:r>
              <m:t>y</m:t>
            </m:r>
          </m:sub>
        </m:sSub>
      </m:oMath>
      <w:r>
        <w:t xml:space="preserve"> </w:t>
      </w:r>
      <w:r>
        <w:t xml:space="preserve">across strata.</w:t>
      </w:r>
    </w:p>
    <w:bookmarkEnd w:id="24"/>
    <w:bookmarkStart w:id="25" w:name="X6d95262b46896bdc825dcb1c8faf26f14403203"/>
    <w:p>
      <w:pPr>
        <w:pStyle w:val="Heading2"/>
      </w:pPr>
      <w:r>
        <w:t xml:space="preserve">Expanding Specimen Collections to Population Abundance-at-Age</w:t>
      </w:r>
    </w:p>
    <w:p>
      <w:pPr>
        <w:pStyle w:val="FirstParagraph"/>
      </w:pPr>
      <w:r>
        <w:t xml:space="preserve">In the second stage expansion the sex-specific estimates of population abundance-at-length are used to estimate sex-specific population abundance-at-age.</w:t>
      </w:r>
      <w:r>
        <w:t xml:space="preserve"> </w:t>
      </w:r>
      <w:r>
        <w:t xml:space="preserve">The annual specimen data that is collected during the survey, which includes observations of age at length, are first populated into sex-specific numbers at age and length (</w:t>
      </w:r>
      <m:oMath>
        <m:sSub>
          <m:e>
            <m:r>
              <m:t>N</m:t>
            </m:r>
          </m:e>
          <m:sub>
            <m:r>
              <m:t>s</m:t>
            </m:r>
            <m:r>
              <m:t>x</m:t>
            </m:r>
            <m:r>
              <m:rPr>
                <m:sty m:val="p"/>
              </m:rPr>
              <m:t>,</m:t>
            </m:r>
            <m:r>
              <m:t>a</m:t>
            </m:r>
            <m:r>
              <m:rPr>
                <m:sty m:val="p"/>
              </m:rPr>
              <m:t>,</m:t>
            </m:r>
            <m:r>
              <m:t>l</m:t>
            </m:r>
            <m:r>
              <m:rPr>
                <m:sty m:val="p"/>
              </m:rPr>
              <m:t>,</m:t>
            </m:r>
            <m:r>
              <m:t>y</m:t>
            </m:r>
          </m:sub>
        </m:sSub>
      </m:oMath>
      <w:r>
        <w:t xml:space="preserve">).</w:t>
      </w:r>
      <w:r>
        <w:t xml:space="preserve"> </w:t>
      </w:r>
      <w:r>
        <w:t xml:space="preserve">Next, the sex-specific numbers at age and length are converted to sex-specific proportions of age at length with:</w:t>
      </w:r>
    </w:p>
    <w:p>
      <w:pPr>
        <w:pStyle w:val="BodyText"/>
      </w:pPr>
      <m:oMathPara>
        <m:oMathParaPr>
          <m:jc m:val="center"/>
        </m:oMathParaPr>
        <m:oMath>
          <m:sSub>
            <m:e>
              <m:acc>
                <m:accPr>
                  <m:chr m:val="̂"/>
                </m:accPr>
                <m:e>
                  <m:r>
                    <m:t>p</m:t>
                  </m:r>
                </m:e>
              </m:acc>
            </m:e>
            <m:sub>
              <m:r>
                <m:t>s</m:t>
              </m:r>
              <m:r>
                <m:t>x</m:t>
              </m:r>
              <m:r>
                <m:rPr>
                  <m:sty m:val="p"/>
                </m:rPr>
                <m:t>,</m:t>
              </m:r>
              <m:r>
                <m:t>a</m:t>
              </m:r>
              <m:r>
                <m:rPr>
                  <m:sty m:val="p"/>
                </m:rPr>
                <m:t>,</m:t>
              </m:r>
              <m:r>
                <m:t>l</m:t>
              </m:r>
              <m:r>
                <m:rPr>
                  <m:sty m:val="p"/>
                </m:rPr>
                <m:t>,</m:t>
              </m:r>
              <m:r>
                <m:t>y</m:t>
              </m:r>
            </m:sub>
          </m:sSub>
          <m:r>
            <m:rPr>
              <m:sty m:val="p"/>
            </m:rPr>
            <m:t>=</m:t>
          </m:r>
          <m:f>
            <m:fPr>
              <m:type m:val="bar"/>
            </m:fPr>
            <m:num>
              <m:sSub>
                <m:e>
                  <m:r>
                    <m:t>N</m:t>
                  </m:r>
                </m:e>
                <m:sub>
                  <m:r>
                    <m:t>s</m:t>
                  </m:r>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s</m:t>
                      </m:r>
                      <m:r>
                        <m:t>x</m:t>
                      </m:r>
                      <m:r>
                        <m:rPr>
                          <m:sty m:val="p"/>
                        </m:rPr>
                        <m:t>,</m:t>
                      </m:r>
                      <m:r>
                        <m:t>a</m:t>
                      </m:r>
                      <m:r>
                        <m:rPr>
                          <m:sty m:val="p"/>
                        </m:rPr>
                        <m:t>,</m:t>
                      </m:r>
                      <m:r>
                        <m:t>l</m:t>
                      </m:r>
                      <m:r>
                        <m:rPr>
                          <m:sty m:val="p"/>
                        </m:rPr>
                        <m:t>,</m:t>
                      </m:r>
                      <m:r>
                        <m:t>y</m:t>
                      </m:r>
                    </m:sub>
                  </m:sSub>
                </m:e>
              </m:nary>
            </m:den>
          </m:f>
          <m:r>
            <m:t>  </m:t>
          </m:r>
          <m:d>
            <m:dPr>
              <m:begChr m:val="("/>
              <m:endChr m:val=")"/>
              <m:sepChr m:val=""/>
              <m:grow/>
            </m:dPr>
            <m:e>
              <m:r>
                <m:t>6</m:t>
              </m:r>
            </m:e>
          </m:d>
        </m:oMath>
      </m:oMathPara>
    </w:p>
    <w:p>
      <w:pPr>
        <w:pStyle w:val="FirstParagraph"/>
      </w:pPr>
      <w:r>
        <w:t xml:space="preserve">The proportions of age at 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s</m:t>
                  </m:r>
                  <m:r>
                    <m:t>x</m:t>
                  </m:r>
                  <m:r>
                    <m:rPr>
                      <m:sty m:val="p"/>
                    </m:rPr>
                    <m:t>,</m:t>
                  </m:r>
                  <m:r>
                    <m:t>a</m:t>
                  </m:r>
                  <m:r>
                    <m:rPr>
                      <m:sty m:val="p"/>
                    </m:rPr>
                    <m:t>,</m:t>
                  </m:r>
                  <m:r>
                    <m:t>l</m:t>
                  </m:r>
                  <m:r>
                    <m:rPr>
                      <m:sty m:val="p"/>
                    </m:rPr>
                    <m:t>,</m:t>
                  </m:r>
                  <m:r>
                    <m:t>y</m:t>
                  </m:r>
                </m:sub>
              </m:sSub>
            </m:e>
          </m:nary>
          <m:r>
            <m:rPr>
              <m:sty m:val="p"/>
            </m:rPr>
            <m:t>⋅</m:t>
          </m:r>
          <m:sSub>
            <m:e>
              <m:acc>
                <m:accPr>
                  <m:chr m:val="̂"/>
                </m:accPr>
                <m:e>
                  <m:r>
                    <m:t>N</m:t>
                  </m:r>
                </m:e>
              </m:acc>
            </m:e>
            <m:sub>
              <m:r>
                <m:t>s</m:t>
              </m:r>
              <m:r>
                <m:t>x</m:t>
              </m:r>
              <m:r>
                <m:rPr>
                  <m:sty m:val="p"/>
                </m:rPr>
                <m:t>,</m:t>
              </m:r>
              <m:r>
                <m:t>l</m:t>
              </m:r>
              <m:r>
                <m:rPr>
                  <m:sty m:val="p"/>
                </m:rPr>
                <m:t>,</m:t>
              </m:r>
              <m:r>
                <m:t>y</m:t>
              </m:r>
            </m:sub>
          </m:sSub>
          <m:r>
            <m:t>  </m:t>
          </m:r>
          <m:d>
            <m:dPr>
              <m:begChr m:val="("/>
              <m:endChr m:val=")"/>
              <m:sepChr m:val=""/>
              <m:grow/>
            </m:dPr>
            <m:e>
              <m:r>
                <m:t>7</m:t>
              </m:r>
            </m:e>
          </m:d>
        </m:oMath>
      </m:oMathPara>
    </w:p>
    <w:p>
      <w:pPr>
        <w:pStyle w:val="FirstParagraph"/>
      </w:pPr>
      <w:r>
        <w:t xml:space="preserve">where</w:t>
      </w:r>
      <w:r>
        <w:t xml:space="preserve"> </w:t>
      </w:r>
      <m:oMath>
        <m:sSub>
          <m:e>
            <m:acc>
              <m:accPr>
                <m:chr m:val="̂"/>
              </m:accPr>
              <m:e>
                <m:r>
                  <m:t>N</m:t>
                </m:r>
              </m:e>
            </m:acc>
          </m:e>
          <m:sub>
            <m:r>
              <m:t>s</m:t>
            </m:r>
            <m:r>
              <m:t>x</m:t>
            </m:r>
            <m:r>
              <m:rPr>
                <m:sty m:val="p"/>
              </m:rPr>
              <m:t>,</m:t>
            </m:r>
            <m:r>
              <m:t>l</m:t>
            </m:r>
            <m:r>
              <m:rPr>
                <m:sty m:val="p"/>
              </m:rPr>
              <m:t>,</m:t>
            </m:r>
            <m:r>
              <m:t>y</m:t>
            </m:r>
          </m:sub>
        </m:sSub>
      </m:oMath>
      <w:r>
        <w:t xml:space="preserve"> </w:t>
      </w:r>
      <w:r>
        <w:t xml:space="preserve">is the population abundance-at-length from (5) summed across strata.</w:t>
      </w:r>
      <w:r>
        <w:t xml:space="preserve"> </w:t>
      </w:r>
      <w:r>
        <w:t xml:space="preserve">For specimen data with observations of sex (either female or male), the sex-specific specimen data is used, however, for specimen data without observations of sex the specimen data is pooled across all sexes and the unsexed population abundance-at-length is then applied to the pooled specimen data to estimate unsexed population abundance-at-age.</w:t>
      </w:r>
    </w:p>
    <w:p>
      <w:pPr>
        <w:pStyle w:val="BodyText"/>
      </w:pPr>
      <w:r>
        <w:t xml:space="preserve">Two general categories of special cases for several stock assessments were also included in our analysis: 1) spatially-explicit assessments, and 2) assessments for species complexes.</w:t>
      </w:r>
      <w:r>
        <w:t xml:space="preserve"> </w:t>
      </w:r>
      <w:r>
        <w:t xml:space="preserve">For the majority of stocks assessed at AFSC age population estimates are computed at the management area scale (e.g., the entire GOA, AI, or EBS), however, we note that there are two flatfish stock assessments that are spatially-explicit in the GOA</w:t>
      </w:r>
      <w:r>
        <w:t xml:space="preserve"> </w:t>
      </w:r>
      <w:r>
        <w:t xml:space="preserve">(McGilliard and Palsson 2017, Bryan and Palsson 2021)</w:t>
      </w:r>
      <w:r>
        <w:t xml:space="preserve">.</w:t>
      </w:r>
      <w:r>
        <w:t xml:space="preserve"> </w:t>
      </w:r>
      <w:r>
        <w:t xml:space="preserve">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w:t>
      </w:r>
      <w:r>
        <w:t xml:space="preserve"> </w:t>
      </w:r>
      <w:r>
        <w:t xml:space="preserve">We have developed functions to estimate population abundance-at-age by sub-region, and by a combination of sub-regions within the GOA to allow for this flexibility in estimating population abundance-at-age.</w:t>
      </w:r>
      <w:r>
        <w:t xml:space="preserve"> </w:t>
      </w:r>
      <w:r>
        <w:t xml:space="preserve">There are a handful of assessments conducted at AFSC that evaluate stocks at a complex level, where several species are included together in an assessment.</w:t>
      </w:r>
      <w:r>
        <w:t xml:space="preserve"> </w:t>
      </w:r>
      <w:r>
        <w:t xml:space="preserve">There are two stock complexes at AFSC in which the species are combined and assessed within the same statistical catch-at-age model: blackspotted and rougheye rockfish in the GOA and AI</w:t>
      </w:r>
      <w:r>
        <w:t xml:space="preserve"> </w:t>
      </w:r>
      <w:r>
        <w:t xml:space="preserve">(Spencer et al. 2020, Sullivan et al. 2021)</w:t>
      </w:r>
      <w:r>
        <w:t xml:space="preserve">.</w:t>
      </w:r>
      <w:r>
        <w:t xml:space="preserve"> </w:t>
      </w:r>
      <w:r>
        <w:t xml:space="preserve">Between the two management regions there are subtle differences in how the population abundance-at-age is estimated from the survey specimen data; we have developed functions that allow for these differences and estimate population abundance-at-age for these two stock complexes.</w:t>
      </w:r>
      <w:r>
        <w:t xml:space="preserve"> </w:t>
      </w:r>
      <w:r>
        <w:t xml:space="preserve">In a similar case, while not assessed as a complex, over the historical bottom trawl sruvey in the GOA several species codes have been used for dusky rockfish.</w:t>
      </w:r>
      <w:r>
        <w:t xml:space="preserve"> </w:t>
      </w:r>
      <w:r>
        <w:t xml:space="preserve">We have also developed a custom function that estimates population abundance-at-length and age for this case.</w:t>
      </w:r>
    </w:p>
    <w:bookmarkEnd w:id="25"/>
    <w:bookmarkStart w:id="27" w:name="X9d806696d317e285f11de36862fb1be375c329b"/>
    <w:p>
      <w:pPr>
        <w:pStyle w:val="Heading2"/>
      </w:pPr>
      <w:r>
        <w:t xml:space="preserve">Bootstrap Framework for Estimating Age and Length Composition Input Sample Size</w:t>
      </w:r>
    </w:p>
    <w:p>
      <w:pPr>
        <w:pStyle w:val="FirstParagraph"/>
      </w:pPr>
      <w:r>
        <w:t xml:space="preserve">To estimate the historical input sample sizes for age and length compositions of stocks assessed at AFSC we developed a bootstrap framework based on the methodology outlined in</w:t>
      </w:r>
      <w:r>
        <w:t xml:space="preserve"> </w:t>
      </w:r>
      <w:r>
        <w:t xml:space="preserve">Stewart and Hamel (2014)</w:t>
      </w:r>
      <w:r>
        <w:t xml:space="preserve">.</w:t>
      </w:r>
      <w:r>
        <w:t xml:space="preserve"> </w:t>
      </w:r>
      <w:r>
        <w:t xml:space="preserve">The bootstrap framework is composed of a suite of nested resampling (with replacement)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 frequency data</w:t>
      </w:r>
    </w:p>
    <w:p>
      <w:pPr>
        <w:numPr>
          <w:ilvl w:val="0"/>
          <w:numId w:val="1003"/>
        </w:numPr>
        <w:pStyle w:val="Compact"/>
      </w:pPr>
      <w:r>
        <w:t xml:space="preserve">Within the resampled hauls from step 1, resample the observed specimen data</w:t>
      </w:r>
    </w:p>
    <w:p>
      <w:pPr>
        <w:numPr>
          <w:ilvl w:val="0"/>
          <w:numId w:val="1003"/>
        </w:numPr>
        <w:pStyle w:val="Compact"/>
      </w:pPr>
      <w:r>
        <w:t xml:space="preserve">From the resampled length frequency data in step 2, calculate sex-specific population abundance-at-length, using equations (1) - (5)</w:t>
      </w:r>
    </w:p>
    <w:p>
      <w:pPr>
        <w:numPr>
          <w:ilvl w:val="0"/>
          <w:numId w:val="1003"/>
        </w:numPr>
        <w:pStyle w:val="Compact"/>
      </w:pPr>
      <w:r>
        <w:t xml:space="preserve">From the resampled specimen data in step 3 and the sex-specific population abundance-at-length in step 4, calculate sex-specific population abundance-at-age, using equations (6) - (7)</w:t>
      </w:r>
    </w:p>
    <w:p>
      <w:pPr>
        <w:pStyle w:val="FirstParagraph"/>
      </w:pPr>
      <w:r>
        <w:t xml:space="preserve">The bootstrap framework then repeated steps 1-5 iteratively, providing iterated sex-specific population abundance-at-length and age that was then compared to the historical sex-specific population abundance-at-length and age as observed by the bottom trawl surveys.</w:t>
      </w:r>
      <w:r>
        <w:t xml:space="preserve"> </w:t>
      </w:r>
      <w:r>
        <w:t xml:space="preserve">We ran the bootstrap-simulation for 500 iterations, which was a level for which the variability in population abundance-at-length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6">
        <w:r>
          <w:rPr>
            <w:rStyle w:val="Hyperlink"/>
          </w:rPr>
          <w:t xml:space="preserve">https://github.com/BenWilliams-NOAA/swo</w:t>
        </w:r>
      </w:hyperlink>
      <w:r>
        <w:t xml:space="preserve"> </w:t>
      </w:r>
      <w:r>
        <w:rPr>
          <w:iCs/>
          <w:i/>
        </w:rPr>
        <w:t xml:space="preserve">will need to change this to the surveyISS package, potentially having been moved to AFSC github</w:t>
      </w:r>
      <w:r>
        <w:t xml:space="preserve">).</w:t>
      </w:r>
    </w:p>
    <w:bookmarkEnd w:id="27"/>
    <w:bookmarkStart w:id="28" w:name="X49e5b874be9fc021dfa0f52613416c6c55da08d"/>
    <w:p>
      <w:pPr>
        <w:pStyle w:val="Heading2"/>
      </w:pPr>
      <w:r>
        <w:t xml:space="preserve">Computing Effective and Input Sample Size</w:t>
      </w:r>
    </w:p>
    <w:p>
      <w:pPr>
        <w:pStyle w:val="FirstParagraph"/>
      </w:pPr>
      <w:r>
        <w:t xml:space="preserve">Effective sample size (ESS),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8</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we used effective sample size to calculate uncertainty in length compositions for each simulation replicate where the underlying age and length compositions derived from the historical bottom trawl surveys was treated as the observed proportions</w:t>
      </w:r>
      <w:r>
        <w:t xml:space="preserve"> </w:t>
      </w:r>
      <m:oMath>
        <m:sSub>
          <m:e>
            <m:r>
              <m:t>O</m:t>
            </m:r>
          </m:e>
          <m:sub>
            <m:r>
              <m:t>c</m:t>
            </m:r>
          </m:sub>
        </m:sSub>
      </m:oMath>
      <w:r>
        <w:t xml:space="preserve"> </w:t>
      </w:r>
      <w:r>
        <w:t xml:space="preserve">in equation (8).</w:t>
      </w:r>
      <w:r>
        <w:t xml:space="preserve"> </w:t>
      </w:r>
      <w:r>
        <w:t xml:space="preserve">For each iteration of the bootstrap we computed a sex-specific estimated proportion (</w:t>
      </w:r>
      <m:oMath>
        <m:sSub>
          <m:e>
            <m:r>
              <m:t>E</m:t>
            </m:r>
          </m:e>
          <m:sub>
            <m:r>
              <m:t>c</m:t>
            </m:r>
          </m:sub>
        </m:sSub>
      </m:oMath>
      <w:r>
        <w:t xml:space="preserve">) that was then compared to the underlying historical sex-specific age and length composition (the effective sample size for the total age and length composition, as the sum of population abundance-at-age and length, was also computed).</w:t>
      </w:r>
      <w:r>
        <w:t xml:space="preserve"> </w:t>
      </w:r>
      <w:r>
        <w:t xml:space="preserve">Thus, for each iteration of the simulation, we computed an effective sample size that quantifies the amount of uncertainty that resulted from each iteration of sub-sampling sexed length frequency data.</w:t>
      </w:r>
    </w:p>
    <w:p>
      <w:pPr>
        <w:pStyle w:val="BodyText"/>
      </w:pPr>
      <w:r>
        <w:t xml:space="preserve">Input sample size (ISS) is defined as a metric of uncertainty used in data-weighting procedures for stock assessment models.</w:t>
      </w:r>
      <w:r>
        <w:t xml:space="preserve"> </w:t>
      </w:r>
      <w:r>
        <w:t xml:space="preserve">An input sample size is usually assigned to annual length compositions in the model fitting process, but there are a variety of methods for calculation – many of which are closely related to the information content of the data product in question.</w:t>
      </w:r>
      <w:r>
        <w:t xml:space="preserve"> </w:t>
      </w:r>
      <w:r>
        <w:t xml:space="preserve">To summarize uncertainty across bootstrap replicates of ESS, we calculated ISS as the harmonic mean of effective sample size across bootstrap iterations</w:t>
      </w:r>
    </w:p>
    <w:p>
      <w:pPr>
        <w:pStyle w:val="BodyText"/>
      </w:pPr>
      <m:oMathPara>
        <m:oMathParaPr>
          <m:jc m:val="center"/>
        </m:oMathParaPr>
        <m:oMath>
          <m:r>
            <m:t>I</m:t>
          </m:r>
          <m:r>
            <m:t>S</m:t>
          </m:r>
          <m:r>
            <m:t>S</m:t>
          </m:r>
          <m:r>
            <m:rPr>
              <m:sty m:val="p"/>
            </m:rPr>
            <m:t>=</m:t>
          </m:r>
          <m:f>
            <m:fPr>
              <m:type m:val="bar"/>
            </m:fPr>
            <m:num>
              <m:r>
                <m:t>I</m:t>
              </m:r>
            </m:num>
            <m:den>
              <m:nary>
                <m:naryPr>
                  <m:chr m:val="∑"/>
                  <m:limLoc m:val="undOvr"/>
                  <m:subHide m:val="0"/>
                  <m:supHide m:val="0"/>
                </m:naryPr>
                <m:sub>
                  <m:r>
                    <m:t>i</m:t>
                  </m:r>
                  <m:r>
                    <m:rPr>
                      <m:sty m:val="p"/>
                    </m:rPr>
                    <m:t>=</m:t>
                  </m:r>
                  <m:r>
                    <m:t>1</m:t>
                  </m:r>
                </m:sub>
                <m:sup>
                  <m:r>
                    <m:t>I</m:t>
                  </m:r>
                </m:sup>
                <m:e>
                  <m:sSup>
                    <m:e>
                      <m:d>
                        <m:dPr>
                          <m:begChr m:val="("/>
                          <m:endChr m:val=")"/>
                          <m:sepChr m:val=""/>
                          <m:grow/>
                        </m:dPr>
                        <m:e>
                          <m:r>
                            <m:t>E</m:t>
                          </m:r>
                          <m:r>
                            <m:t>S</m:t>
                          </m:r>
                          <m:sSub>
                            <m:e>
                              <m:r>
                                <m:t>S</m:t>
                              </m:r>
                            </m:e>
                            <m:sub>
                              <m:r>
                                <m:t>i</m:t>
                              </m:r>
                            </m:sub>
                          </m:sSub>
                        </m:e>
                      </m:d>
                    </m:e>
                    <m:sup>
                      <m:r>
                        <m:rPr>
                          <m:sty m:val="p"/>
                        </m:rPr>
                        <m:t>−</m:t>
                      </m:r>
                      <m:r>
                        <m:t>1</m:t>
                      </m:r>
                    </m:sup>
                  </m:sSup>
                </m:e>
              </m:nary>
            </m:den>
          </m:f>
          <m:r>
            <m:t>  </m:t>
          </m:r>
          <m:d>
            <m:dPr>
              <m:begChr m:val="("/>
              <m:endChr m:val=")"/>
              <m:sepChr m:val=""/>
              <m:grow/>
            </m:dPr>
            <m:e>
              <m:r>
                <m:t>9</m:t>
              </m:r>
            </m:e>
          </m:d>
        </m:oMath>
      </m:oMathPara>
    </w:p>
    <w:p>
      <w:pPr>
        <w:pStyle w:val="FirstParagraph"/>
      </w:pPr>
      <w:r>
        <w:t xml:space="preserve">where</w:t>
      </w:r>
      <w:r>
        <w:t xml:space="preserve"> </w:t>
      </w:r>
      <m:oMath>
        <m:r>
          <m:t>I</m:t>
        </m:r>
        <m:r>
          <m:t>S</m:t>
        </m:r>
        <m:r>
          <m:t>S</m:t>
        </m:r>
      </m:oMath>
      <w:r>
        <w:t xml:space="preserve"> </w:t>
      </w:r>
      <w:r>
        <w:t xml:space="preserve">is the input sample size,</w:t>
      </w:r>
      <w:r>
        <w:t xml:space="preserve"> </w:t>
      </w:r>
      <m:oMath>
        <m:r>
          <m:t>E</m:t>
        </m:r>
        <m:r>
          <m:t>S</m:t>
        </m:r>
        <m:sSub>
          <m:e>
            <m:r>
              <m:t>S</m:t>
            </m:r>
          </m:e>
          <m:sub>
            <m:r>
              <m:t>i</m:t>
            </m:r>
          </m:sub>
        </m:sSub>
      </m:oMath>
      <w:r>
        <w:t xml:space="preserve"> </w:t>
      </w:r>
      <w:r>
        <w:t xml:space="preserve">is the effective sample size for iteration-</w:t>
      </w:r>
      <w:r>
        <w:rPr>
          <w:iCs/>
          <w:i/>
        </w:rPr>
        <w:t xml:space="preserve">i</w:t>
      </w:r>
      <w:r>
        <w:t xml:space="preserve">, and</w:t>
      </w:r>
      <w:r>
        <w:t xml:space="preserve"> </w:t>
      </w:r>
      <w:r>
        <w:rPr>
          <w:iCs/>
          <w:i/>
        </w:rPr>
        <w:t xml:space="preserve">I</w:t>
      </w:r>
      <w:r>
        <w:t xml:space="preserve"> </w:t>
      </w:r>
      <w:r>
        <w:t xml:space="preserve">is the total number of iterations for which the bootstrap procedure is run.</w:t>
      </w:r>
      <w:r>
        <w:t xml:space="preserve"> </w:t>
      </w:r>
      <w:r>
        <w:t xml:space="preserve">The harmonic mean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 or ESS</w:t>
      </w:r>
      <w:r>
        <w:t xml:space="preserve">’</w:t>
      </w:r>
      <w:r>
        <w:t xml:space="preserve"> </w:t>
      </w:r>
      <w:r>
        <w:t xml:space="preserve">we are referring to the effective sample sizes that were computed for each iteration of the bootstrap-simulation from equation (8), when we use the term</w:t>
      </w:r>
      <w:r>
        <w:t xml:space="preserve"> </w:t>
      </w:r>
      <w:r>
        <w:t xml:space="preserve">‘</w:t>
      </w:r>
      <w:r>
        <w:t xml:space="preserve">input sample size or ISS</w:t>
      </w:r>
      <w:r>
        <w:t xml:space="preserve">’</w:t>
      </w:r>
      <w:r>
        <w:t xml:space="preserve"> </w:t>
      </w:r>
      <w:r>
        <w:t xml:space="preserve">we are referring to the harmonic mean of the iterated effective sample sizes from equation (9).</w:t>
      </w:r>
    </w:p>
    <w:bookmarkEnd w:id="28"/>
    <w:bookmarkEnd w:id="29"/>
    <w:bookmarkStart w:id="30" w:name="results"/>
    <w:p>
      <w:pPr>
        <w:pStyle w:val="Heading1"/>
      </w:pPr>
      <w:r>
        <w:t xml:space="preserve">RESULTS</w:t>
      </w:r>
    </w:p>
    <w:p>
      <w:pPr>
        <w:pStyle w:val="FirstParagraph"/>
      </w:pPr>
      <w:r>
        <w:t xml:space="preserve">Average length composition nominal sample sizes and estimated input sample sizes for the bottom trawl surveys evaluated are shown in Tables</w:t>
      </w:r>
      <w:r>
        <w:t xml:space="preserve"> </w:t>
      </w:r>
      <w:r>
        <w:t xml:space="preserve">3</w:t>
      </w:r>
      <w:r>
        <w:t xml:space="preserve"> </w:t>
      </w:r>
      <w:r>
        <w:t xml:space="preserve">-</w:t>
      </w:r>
      <w:r>
        <w:t xml:space="preserve"> </w:t>
      </w:r>
      <w:r>
        <w:t xml:space="preserve">6</w:t>
      </w:r>
      <w:r>
        <w:t xml:space="preserve">.</w:t>
      </w:r>
      <w:r>
        <w:t xml:space="preserve"> </w:t>
      </w:r>
      <w:r>
        <w:t xml:space="preserve">Across the surveys, average sex-specific length composition nominal sample size ranged from around 300 to upwards of 35,000 samples per year, where the total length composition nominal sample size (for all sexes combined) ranged from around 700 to upwards of 82,000 per year.</w:t>
      </w:r>
      <w:r>
        <w:t xml:space="preserve"> </w:t>
      </w:r>
      <w:r>
        <w:t xml:space="preserve">The most frequently sampled species within in Eastern Bering Sea shelf survey were walleye pollock, yellowfin sole, northern rock sole, and arrowtooth flounder (Table</w:t>
      </w:r>
      <w:r>
        <w:t xml:space="preserve"> </w:t>
      </w:r>
      <w:r>
        <w:t xml:space="preserve">3</w:t>
      </w:r>
      <w:r>
        <w:t xml:space="preserve">), and in the Eastern Bering Sea slope survey were arrowtooth flounder, kamchatka flounder, and Pacific ocean perch (Table</w:t>
      </w:r>
      <w:r>
        <w:t xml:space="preserve"> </w:t>
      </w:r>
      <w:r>
        <w:t xml:space="preserve">4</w:t>
      </w:r>
      <w:r>
        <w:t xml:space="preserve">).</w:t>
      </w:r>
      <w:r>
        <w:t xml:space="preserve"> </w:t>
      </w:r>
      <w:r>
        <w:t xml:space="preserve">The most frequently sampled species within the Aleutian Islands bottom trawl survey were Pacific ocean perch, walleye pollock, and arrowtooth flounder (Table</w:t>
      </w:r>
      <w:r>
        <w:t xml:space="preserve"> </w:t>
      </w:r>
      <w:r>
        <w:t xml:space="preserve">5</w:t>
      </w:r>
      <w:r>
        <w:t xml:space="preserve">).</w:t>
      </w:r>
      <w:r>
        <w:t xml:space="preserve"> </w:t>
      </w:r>
      <w:r>
        <w:t xml:space="preserve">The most frequently sampled species in the Gulf of Aslaska bottom trawl survey were arrowtooth flounder, walleye pollock, flathead flounder, and Pacific ocean perch (Table</w:t>
      </w:r>
      <w:r>
        <w:t xml:space="preserve"> </w:t>
      </w:r>
      <w:r>
        <w:t xml:space="preserve">6</w:t>
      </w:r>
      <w:r>
        <w:t xml:space="preserve">).</w:t>
      </w:r>
      <w:r>
        <w:t xml:space="preserve"> </w:t>
      </w:r>
      <w:r>
        <w:t xml:space="preserve">Estimated input sample sizes for length composition were smaller than the nominal sample sizes, as expected.</w:t>
      </w:r>
      <w:r>
        <w:t xml:space="preserve"> </w:t>
      </w:r>
      <w:r>
        <w:t xml:space="preserve">It was generally the case that length composition input sample sizes ranged in the thousands for species that were more commonly sampled in the bottom trawl surveys, and were less than 1,000 for species that weren’t (Tables</w:t>
      </w:r>
      <w:r>
        <w:t xml:space="preserve"> </w:t>
      </w:r>
      <w:r>
        <w:t xml:space="preserve">3</w:t>
      </w:r>
      <w:r>
        <w:t xml:space="preserve"> </w:t>
      </w:r>
      <w:r>
        <w:t xml:space="preserve">-</w:t>
      </w:r>
      <w:r>
        <w:t xml:space="preserve"> </w:t>
      </w:r>
      <w:r>
        <w:t xml:space="preserve">6</w:t>
      </w:r>
      <w:r>
        <w:t xml:space="preserve">).</w:t>
      </w:r>
      <w:r>
        <w:t xml:space="preserve"> </w:t>
      </w:r>
      <w:r>
        <w:t xml:space="preserve">Sex-specific length composition input sample size ranged from 35 to greater than 3,500, with a mean around 700.</w:t>
      </w:r>
      <w:r>
        <w:t xml:space="preserve"> </w:t>
      </w:r>
      <w:r>
        <w:t xml:space="preserve">Total length composition (all sexes combined) input sample size ranged from around 100 to greater than 4,500 with a mean of just larger than 1,000.</w:t>
      </w:r>
    </w:p>
    <w:p>
      <w:pPr>
        <w:pStyle w:val="BodyText"/>
      </w:pPr>
      <w:r>
        <w:t xml:space="preserve">Average age composition nominal sample sizes and estimated input sample sizes for the bottom trawl surveys evaluated are shown in Tables</w:t>
      </w:r>
      <w:r>
        <w:t xml:space="preserve"> </w:t>
      </w:r>
      <w:r>
        <w:t xml:space="preserve">7</w:t>
      </w:r>
      <w:r>
        <w:t xml:space="preserve"> </w:t>
      </w:r>
      <w:r>
        <w:t xml:space="preserve">-</w:t>
      </w:r>
      <w:r>
        <w:t xml:space="preserve"> </w:t>
      </w:r>
      <w:r>
        <w:t xml:space="preserve">10</w:t>
      </w:r>
      <w:r>
        <w:t xml:space="preserve">.</w:t>
      </w:r>
      <w:r>
        <w:t xml:space="preserve"> </w:t>
      </w:r>
      <w:r>
        <w:t xml:space="preserve">Across the surveys, average sex-specific age composition nominal sample sizes ranged from around 130 to nearly 850 per year, where the total age composition nominal sample size (for all sexes combined) ranged from nearly 300 to over 1,500 per year.</w:t>
      </w:r>
      <w:r>
        <w:t xml:space="preserve"> </w:t>
      </w:r>
      <w:r>
        <w:t xml:space="preserve">It was commonly the case that the most frequently sampled species in each survey for age composition were similar to the most frequently sampled species for length composition.</w:t>
      </w:r>
      <w:r>
        <w:t xml:space="preserve"> </w:t>
      </w:r>
      <w:r>
        <w:t xml:space="preserve">Similar to the length composition results, estimated input sample sizes for age composition were smaller than the nominal sample sizes, as expected.</w:t>
      </w:r>
      <w:r>
        <w:t xml:space="preserve"> </w:t>
      </w:r>
      <w:r>
        <w:t xml:space="preserve">Sex-specific age composition input sample size ranged from 20 to nearly 300, with a mean around 100.</w:t>
      </w:r>
      <w:r>
        <w:t xml:space="preserve"> </w:t>
      </w:r>
      <w:r>
        <w:t xml:space="preserve">Total age composition (all sexes combined) input sample size ranged from around 50 to greater than 400 with a mean of just larger than 150.</w:t>
      </w:r>
      <w:r>
        <w:t xml:space="preserve"> </w:t>
      </w:r>
      <w:r>
        <w:t xml:space="preserve">It was the case that for each species and sex combination the age composition input sample size was smaller than the length composition input sample size.</w:t>
      </w:r>
    </w:p>
    <w:p>
      <w:pPr>
        <w:pStyle w:val="BodyText"/>
      </w:pPr>
      <w:r>
        <w:t xml:space="preserve">In general, the input sample size for length composition was smaller than 10 per sampled haul, where the average number of lengths sampled per haul ranged from 10 - 60 (Figure</w:t>
      </w:r>
      <w:r>
        <w:t xml:space="preserve"> </w:t>
      </w:r>
      <w:r>
        <w:t xml:space="preserve">2</w:t>
      </w:r>
      <w:r>
        <w:t xml:space="preserve">).</w:t>
      </w:r>
      <w:r>
        <w:t xml:space="preserve"> </w:t>
      </w:r>
      <w:r>
        <w:t xml:space="preserve">For flatfish, it was the case that as the length sampling per haul increased the input sample size increased.</w:t>
      </w:r>
      <w:r>
        <w:t xml:space="preserve"> </w:t>
      </w:r>
      <w:r>
        <w:t xml:space="preserve">However, for rockfish and roundfish, an increase in length sampling per haul did not result in an increase in the input sample size.</w:t>
      </w:r>
      <w:r>
        <w:t xml:space="preserve"> </w:t>
      </w:r>
      <w:r>
        <w:t xml:space="preserve">FOr rockfish and roundfish the input sample size per sampled haul did not exheed 5 regardless of the number of fish sampled for length within a haul.</w:t>
      </w:r>
      <w:r>
        <w:t xml:space="preserve"> </w:t>
      </w:r>
      <w:r>
        <w:t xml:space="preserve">The average input sample size per length sampled was 0.17 for flatfish and 0.1 for rockfish and roundfish.</w:t>
      </w:r>
      <w:r>
        <w:t xml:space="preserve"> </w:t>
      </w:r>
      <w:r>
        <w:t xml:space="preserve">It generally was the case across the species groupings that as the number of sampled hauls for length increased the length composition input sample size increased (Figure</w:t>
      </w:r>
      <w:r>
        <w:t xml:space="preserve"> </w:t>
      </w:r>
      <w:r>
        <w:t xml:space="preserve">3</w:t>
      </w:r>
      <w:r>
        <w:t xml:space="preserve">).</w:t>
      </w:r>
      <w:r>
        <w:t xml:space="preserve"> </w:t>
      </w:r>
      <w:r>
        <w:t xml:space="preserve">For flatfish the length composition input sample size was larger than the number of hauls for each of the surveys.</w:t>
      </w:r>
      <w:r>
        <w:t xml:space="preserve"> </w:t>
      </w:r>
      <w:r>
        <w:t xml:space="preserve">For rockfish and roundfish the relationship between the number of sampled hauls and length composition input sample size was nearly one-to-one, with the exceptions of roundfish in the Eastern Bering Sea shelf and Gulf of Alaska surveys.</w:t>
      </w:r>
      <w:r>
        <w:t xml:space="preserve"> </w:t>
      </w:r>
      <w:r>
        <w:t xml:space="preserve">In the Gulf of Alaska survey, the length composition input sample size for roundfish was seemingly invariant to the number of hauls sampled and did not increase as the number of sampled hauls for length increased.</w:t>
      </w:r>
    </w:p>
    <w:p>
      <w:pPr>
        <w:pStyle w:val="BodyText"/>
      </w:pPr>
      <w:r>
        <w:t xml:space="preserve">In general, the input sample size for age composition ranged from less than 1 to 4 per sampled haul, where the average number of ages sampled per haul ranged from 1 to 20 (Figure</w:t>
      </w:r>
      <w:r>
        <w:t xml:space="preserve"> </w:t>
      </w:r>
      <w:r>
        <w:t xml:space="preserve">4</w:t>
      </w:r>
      <w:r>
        <w:t xml:space="preserve">).</w:t>
      </w:r>
      <w:r>
        <w:t xml:space="preserve"> </w:t>
      </w:r>
      <w:r>
        <w:t xml:space="preserve">For each of the species groupings as the number of fish sampled for age per haul increased the input sample size for age composition increased, although the rate of increase was less than one-to-one.</w:t>
      </w:r>
      <w:r>
        <w:t xml:space="preserve"> </w:t>
      </w:r>
      <w:r>
        <w:t xml:space="preserve">The average input sample size per age sampled was 0.39 for flatfish, 0.27 for rockfish, and 0.19 for roundfish.</w:t>
      </w:r>
      <w:r>
        <w:t xml:space="preserve"> </w:t>
      </w:r>
      <w:r>
        <w:t xml:space="preserve">Similar to the length results, it was generally the case that as the number of sampled hauls for age increased the age composition input sample size increased (Figure</w:t>
      </w:r>
      <w:r>
        <w:t xml:space="preserve"> </w:t>
      </w:r>
      <w:r>
        <w:t xml:space="preserve">5</w:t>
      </w:r>
      <w:r>
        <w:t xml:space="preserve">), with the exception of roundfish in the Eastern Bering Sea shelf and Gulf of Alaska surveys.</w:t>
      </w:r>
    </w:p>
    <w:bookmarkEnd w:id="30"/>
    <w:bookmarkStart w:id="31" w:name="discussion"/>
    <w:p>
      <w:pPr>
        <w:pStyle w:val="Heading1"/>
      </w:pPr>
      <w:r>
        <w:t xml:space="preserve">DISCUSSION</w:t>
      </w:r>
    </w:p>
    <w:p>
      <w:pPr>
        <w:pStyle w:val="FirstParagraph"/>
      </w:pPr>
      <w:r>
        <w:t xml:space="preserve">[General para on main take-home results - Pete]</w:t>
      </w:r>
    </w:p>
    <w:p>
      <w:pPr>
        <w:pStyle w:val="BodyText"/>
      </w:pPr>
      <w:r>
        <w:t xml:space="preserve">[Para on use of input sample sizes used in assessment, with examples from other regions (e.g., west coast, iphc) - Matt]</w:t>
      </w:r>
    </w:p>
    <w:p>
      <w:pPr>
        <w:pStyle w:val="BodyText"/>
      </w:pPr>
      <w:r>
        <w:t xml:space="preserve">[Para on different approaches used to weight comp data at AFSC]</w:t>
      </w:r>
    </w:p>
    <w:p>
      <w:pPr>
        <w:pStyle w:val="BodyText"/>
      </w:pPr>
      <w:r>
        <w:t xml:space="preserve">[Conclusion para on where input sample size will be available to authors - Pete with input from all]</w:t>
      </w:r>
    </w:p>
    <w:p>
      <w:r>
        <w:br w:type="page"/>
      </w:r>
    </w:p>
    <w:p>
      <w:r>
        <w:br w:type="page"/>
      </w:r>
    </w:p>
    <w:bookmarkEnd w:id="31"/>
    <w:bookmarkStart w:id="32" w:name="acknowledgements"/>
    <w:p>
      <w:pPr>
        <w:pStyle w:val="Heading1"/>
      </w:pPr>
      <w:r>
        <w:t xml:space="preserve">ACKNOWLEDGEMENTS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p>
      <w:r>
        <w:br w:type="page"/>
      </w:r>
    </w:p>
    <w:bookmarkEnd w:id="32"/>
    <w:bookmarkStart w:id="62" w:name="citations"/>
    <w:p>
      <w:pPr>
        <w:pStyle w:val="Heading1"/>
      </w:pPr>
      <w:r>
        <w:t xml:space="preserve">CITATIONS</w:t>
      </w:r>
    </w:p>
    <w:bookmarkStart w:id="61" w:name="refs"/>
    <w:bookmarkStart w:id="33"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3"/>
    <w:bookmarkStart w:id="34"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4"/>
    <w:bookmarkStart w:id="35" w:name="ref-Bryan2021"/>
    <w:p>
      <w:pPr>
        <w:pStyle w:val="Bibliography"/>
      </w:pPr>
      <w:r>
        <w:t xml:space="preserve">Bryan, M.D., and Palsson, W. 2021.</w:t>
      </w:r>
      <w:r>
        <w:t xml:space="preserve"> </w:t>
      </w:r>
      <w:r>
        <w:t xml:space="preserve">Assessment of the northern and southern rock sole (</w:t>
      </w:r>
      <w:r>
        <w:rPr>
          <w:iCs/>
          <w:i/>
        </w:rPr>
        <w:t xml:space="preserve">Lepidopsetta polyxstra</w:t>
      </w:r>
      <w:r>
        <w:t xml:space="preserve"> </w:t>
      </w:r>
      <w:r>
        <w:t xml:space="preserve">and</w:t>
      </w:r>
      <w:r>
        <w:t xml:space="preserve"> </w:t>
      </w:r>
      <w:r>
        <w:rPr>
          <w:iCs/>
          <w:i/>
        </w:rPr>
        <w:t xml:space="preserve">bilineata</w:t>
      </w:r>
      <w:r>
        <w:t xml:space="preserve">) stocks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5"/>
    <w:bookmarkStart w:id="36"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3a"/>
    <w:p>
      <w:pPr>
        <w:pStyle w:val="Bibliography"/>
      </w:pPr>
      <w:r>
        <w:t xml:space="preserve">Hulson, P.-J.F., Williams, B., Bryan, M., Conner, J., Siskey, M., Stockhausen, W., Mcdermott, S., and Long, C. 2023.</w:t>
      </w:r>
      <w:r>
        <w:t xml:space="preserve"> </w:t>
      </w:r>
      <w:r>
        <w:t xml:space="preserve">Sub-sampling of length frequency to determine sex in Alaska Fishery Science Center bottom trawl surveys</w:t>
      </w:r>
      <w:r>
        <w:t xml:space="preserve">. U.S. Department of Commerce. NOAA Technical Memorandum NMFS-AFSC-464: 47 p.</w:t>
      </w:r>
    </w:p>
    <w:bookmarkEnd w:id="37"/>
    <w:bookmarkStart w:id="38"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8"/>
    <w:bookmarkStart w:id="39" w:name="ref-Ianelli2021"/>
    <w:p>
      <w:pPr>
        <w:pStyle w:val="Bibliography"/>
      </w:pPr>
      <w:r>
        <w:t xml:space="preserve">Ianelli, J.I., Fissel, B., Stienessen, S., Honkalehto, T., Siddon, E., and Allen-Akselrud, C. 2021.</w:t>
      </w:r>
      <w:r>
        <w:t xml:space="preserve"> </w:t>
      </w:r>
      <w:r>
        <w:t xml:space="preserve">Assessment of the walleye pollock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9"/>
    <w:bookmarkStart w:id="4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0"/>
    <w:bookmarkStart w:id="41"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1"/>
    <w:bookmarkStart w:id="42" w:name="ref-Mcgilliard2017"/>
    <w:p>
      <w:pPr>
        <w:pStyle w:val="Bibliography"/>
      </w:pPr>
      <w:r>
        <w:t xml:space="preserve">McGilliard, C.R., and Palsson, W. 2017.</w:t>
      </w:r>
      <w:r>
        <w:t xml:space="preserve"> </w:t>
      </w:r>
      <w:r>
        <w:t xml:space="preserve">Assessment of the rex sole stock in the Gulf of Alaska.</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2"/>
    <w:bookmarkStart w:id="43"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3"/>
    <w:bookmarkStart w:id="44"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4"/>
    <w:bookmarkStart w:id="45"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5"/>
    <w:bookmarkStart w:id="46" w:name="ref-NPFMC2020bsai"/>
    <w:p>
      <w:pPr>
        <w:pStyle w:val="Bibliography"/>
      </w:pPr>
      <w:r>
        <w:t xml:space="preserve">NPFMC. 2020a.</w:t>
      </w:r>
      <w:r>
        <w:t xml:space="preserve"> </w:t>
      </w:r>
      <w:r>
        <w:t xml:space="preserve">Fishery Management Plan for Groundfish of the Bering Sea and Aleutian Islands Management Area</w:t>
      </w:r>
      <w:r>
        <w:t xml:space="preserve">. North Pacific Fishery Management Council, 1007 West 3rd Ave., Suite 400, L92 Building, 4th floor, Anchorage, AK 99501.</w:t>
      </w:r>
    </w:p>
    <w:bookmarkEnd w:id="46"/>
    <w:bookmarkStart w:id="47" w:name="ref-NPFMC2020goa"/>
    <w:p>
      <w:pPr>
        <w:pStyle w:val="Bibliography"/>
      </w:pPr>
      <w:r>
        <w:t xml:space="preserve">NPFMC. 2020b.</w:t>
      </w:r>
      <w:r>
        <w:t xml:space="preserve"> </w:t>
      </w:r>
      <w:r>
        <w:t xml:space="preserve">Fishery Management Plan for Groundfish of the Gulf of Alaska</w:t>
      </w:r>
      <w:r>
        <w:t xml:space="preserve">. North Pacific Fishery Management Council, 1007 West 3rd Ave., Suite 400, L92 Building, 4th floor, Anchorage, AK 99501.</w:t>
      </w:r>
    </w:p>
    <w:bookmarkEnd w:id="47"/>
    <w:bookmarkStart w:id="49" w:name="ref-Rcore"/>
    <w:p>
      <w:pPr>
        <w:pStyle w:val="Bibliography"/>
      </w:pPr>
      <w:r>
        <w:t xml:space="preserve">R Core Team. 2022. R: A language and environment for statistical computing. R Foundation for Statistical Computing, Vienna, Austria. Available from</w:t>
      </w:r>
      <w:r>
        <w:t xml:space="preserve"> </w:t>
      </w:r>
      <w:hyperlink r:id="rId48">
        <w:r>
          <w:rPr>
            <w:rStyle w:val="Hyperlink"/>
          </w:rPr>
          <w:t xml:space="preserve">https://www.R-project.org/</w:t>
        </w:r>
      </w:hyperlink>
      <w:r>
        <w:t xml:space="preserve">.</w:t>
      </w:r>
    </w:p>
    <w:bookmarkEnd w:id="49"/>
    <w:bookmarkStart w:id="50" w:name="ref-Rudd2021"/>
    <w:p>
      <w:pPr>
        <w:pStyle w:val="Bibliography"/>
      </w:pPr>
      <w:r>
        <w:t xml:space="preserve">Rudd, M.B., Cope, J.M., Wetzel, C.R., and Hastie, J. 2021.</w:t>
      </w:r>
      <w:r>
        <w:t xml:space="preserve"> </w:t>
      </w:r>
      <w:r>
        <w:t xml:space="preserve">Catch and length models in the Stock Synthesis framework: expanded application to data-moderate stocks</w:t>
      </w:r>
      <w:r>
        <w:t xml:space="preserve">. Frontiers in Marine Science 8.</w:t>
      </w:r>
    </w:p>
    <w:bookmarkEnd w:id="50"/>
    <w:bookmarkStart w:id="51"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1"/>
    <w:bookmarkStart w:id="52" w:name="ref-Spencer2020b"/>
    <w:p>
      <w:pPr>
        <w:pStyle w:val="Bibliography"/>
      </w:pPr>
      <w:r>
        <w:t xml:space="preserve">Spencer, P.D., Ianelli, J.I., and Palsson, W.A. 2020.</w:t>
      </w:r>
      <w:r>
        <w:t xml:space="preserve"> </w:t>
      </w:r>
      <w:r>
        <w:t xml:space="preserve">Assessment of the Blackspotted and Rougheye Rockfish stock complex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2"/>
    <w:bookmarkStart w:id="53"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53"/>
    <w:bookmarkStart w:id="54"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4"/>
    <w:bookmarkStart w:id="55" w:name="ref-Sullivan2021"/>
    <w:p>
      <w:pPr>
        <w:pStyle w:val="Bibliography"/>
      </w:pPr>
      <w:r>
        <w:t xml:space="preserve">Sullivan, Jane Y, Shotwell, S.K., Hanselman, D.H., Hulson, P.-J.F., Williams, B.C., Yasumiishi, E.M., and Ferriss, B.E. 2021.</w:t>
      </w:r>
      <w:r>
        <w:t xml:space="preserve"> </w:t>
      </w:r>
      <w:r>
        <w:t xml:space="preserve">Assessment of the Rougheye and Blackspotted Rockfish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5"/>
    <w:bookmarkStart w:id="56" w:name="ref-Thompson2021"/>
    <w:p>
      <w:pPr>
        <w:pStyle w:val="Bibliography"/>
      </w:pPr>
      <w:r>
        <w:t xml:space="preserve">Thompson, G.G., Barbeaux, S., Connor, J., Fissel, B., Hurst, T., Laurel, B., O’Leary, C.A., Rogers, L., Shotwell, S.K., Siddon, E., Spies, I., Thorson, J.T., and Tyrell, A. 2021.</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6"/>
    <w:bookmarkStart w:id="57"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57"/>
    <w:bookmarkStart w:id="58"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8"/>
    <w:bookmarkStart w:id="59"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9"/>
    <w:bookmarkStart w:id="60"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0"/>
    <w:bookmarkEnd w:id="61"/>
    <w:p>
      <w:r>
        <w:br w:type="page"/>
      </w:r>
    </w:p>
    <w:bookmarkEnd w:id="62"/>
    <w:bookmarkStart w:id="63" w:name="tables"/>
    <w:p>
      <w:pPr>
        <w:pStyle w:val="Heading1"/>
      </w:pPr>
      <w:r>
        <w:t xml:space="preserve">TABLES</w:t>
      </w:r>
    </w:p>
    <w:p>
      <w:pPr>
        <w:pStyle w:val="TableCaption"/>
      </w:pPr>
      <w:r>
        <w:t xml:space="preserve">Table 1: Species assessed at the Alaska Fisheries Science Center that were evaluated in the bootstrap analysis for bottom trawl survey length and age composition input sample size (AI - Aleutian Islands, EBS - Eastern Bering Sea, GOA - Gulf of Alaska)</w:t>
      </w:r>
    </w:p>
    <w:tbl>
      <w:tblPr>
        <w:tblStyle w:val="Table"/>
        <w:tblW w:type="pct" w:w="5000"/>
        <w:tblLook w:firstRow="1" w:lastRow="0" w:firstColumn="0" w:lastColumn="0" w:noHBand="0" w:noVBand="0" w:val="002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049"/>
        <w:gridCol w:w="2981"/>
        <w:gridCol w:w="2888"/>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Survey evaluated</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EBS shelf</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AI, EBS shelf, EBS slope, GOA</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AI</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GOA</w:t>
            </w:r>
          </w:p>
        </w:tc>
      </w:tr>
      <w:tr>
        <w:tc>
          <w:tcPr/>
          <w:p>
            <w:pPr>
              <w:pStyle w:val="Compact"/>
              <w:jc w:val="left"/>
            </w:pPr>
            <w:r>
              <w:t xml:space="preserve">Dusky rockfish</w:t>
            </w:r>
          </w:p>
        </w:tc>
        <w:tc>
          <w:tcPr/>
          <w:p>
            <w:pPr>
              <w:pStyle w:val="Compact"/>
              <w:jc w:val="left"/>
            </w:pPr>
            <w:r>
              <w:t xml:space="preserve">Sebastes ciliatus</w:t>
            </w:r>
          </w:p>
        </w:tc>
        <w:tc>
          <w:tcPr/>
          <w:p>
            <w:pPr>
              <w:pStyle w:val="Compact"/>
              <w:jc w:val="center"/>
            </w:pPr>
            <w:r>
              <w:t xml:space="preserve">GOA</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EBS shelf, GOA</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EBS shelf, EBS slope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AI, EBS shelf, EBS slope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EBS shelf, GOA</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AI, GOA</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AI, EBS shelf, GOA</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AI, EBS slope, GOA</w:t>
            </w:r>
          </w:p>
        </w:tc>
      </w:tr>
      <w:tr>
        <w:tc>
          <w:tcPr/>
          <w:p>
            <w:pPr>
              <w:pStyle w:val="Compact"/>
              <w:jc w:val="left"/>
            </w:pPr>
            <w:r>
              <w:t xml:space="preserve">REBS rockfish complex</w:t>
            </w:r>
          </w:p>
        </w:tc>
        <w:tc>
          <w:tcPr/>
          <w:p>
            <w:pPr>
              <w:pStyle w:val="Compact"/>
              <w:jc w:val="left"/>
            </w:pPr>
            <w:r>
              <w:t xml:space="preserve">Sebastes aleutianus</w:t>
            </w:r>
          </w:p>
        </w:tc>
        <w:tc>
          <w:tcPr/>
          <w:p>
            <w:pPr>
              <w:pStyle w:val="Compact"/>
              <w:jc w:val="center"/>
            </w:pPr>
            <w:r>
              <w:t xml:space="preserve">AI, GOA</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GOA</w:t>
            </w:r>
          </w:p>
        </w:tc>
      </w:tr>
      <w:tr>
        <w:tc>
          <w:tcPr/>
          <w:p>
            <w:pPr>
              <w:pStyle w:val="Compact"/>
              <w:jc w:val="left"/>
            </w:pPr>
            <w:r>
              <w:t xml:space="preserve">sablefish</w:t>
            </w:r>
          </w:p>
        </w:tc>
        <w:tc>
          <w:tcPr/>
          <w:p>
            <w:pPr>
              <w:pStyle w:val="Compact"/>
              <w:jc w:val="left"/>
            </w:pPr>
            <w:r>
              <w:t xml:space="preserve">Anoplopoma fimbria</w:t>
            </w:r>
          </w:p>
        </w:tc>
        <w:tc>
          <w:tcPr/>
          <w:p>
            <w:pPr>
              <w:pStyle w:val="Compact"/>
              <w:jc w:val="center"/>
            </w:pPr>
            <w:r>
              <w:t xml:space="preserve">GOA</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GOA</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AI, EBS shelf, GOA</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EBS shelf</w:t>
            </w:r>
          </w:p>
        </w:tc>
      </w:tr>
    </w:tbl>
    <w:p>
      <w:r>
        <w:br w:type="page"/>
      </w:r>
    </w:p>
    <w:p>
      <w:pPr>
        <w:pStyle w:val="TableCaption"/>
      </w:pPr>
      <w:r>
        <w:t xml:space="preserve">Table 2: Species assessed at the Alaska Fisheries Science Center that were evaluated in the bootstrap analysis by</w:t>
      </w:r>
      <w:r>
        <w:t xml:space="preserve"> </w:t>
      </w:r>
      <w:r>
        <w:t xml:space="preserve">‘</w:t>
      </w:r>
      <w:r>
        <w:t xml:space="preserve">flatfish</w:t>
      </w:r>
      <w:r>
        <w:t xml:space="preserve">’</w:t>
      </w:r>
      <w:r>
        <w:t xml:space="preserve">,</w:t>
      </w:r>
      <w:r>
        <w:t xml:space="preserve"> </w:t>
      </w:r>
      <w:r>
        <w:t xml:space="preserve">‘</w:t>
      </w:r>
      <w:r>
        <w:t xml:space="preserve">rockfish</w:t>
      </w:r>
      <w:r>
        <w:t xml:space="preserve">’</w:t>
      </w:r>
      <w:r>
        <w:t xml:space="preserve"> </w:t>
      </w:r>
      <w:r>
        <w:t xml:space="preserve">and</w:t>
      </w:r>
      <w:r>
        <w:t xml:space="preserve"> </w:t>
      </w:r>
      <w:r>
        <w:t xml:space="preserve">‘</w:t>
      </w:r>
      <w:r>
        <w:t xml:space="preserve">roundfish</w:t>
      </w:r>
      <w:r>
        <w:t xml:space="preserve">’</w:t>
      </w:r>
      <w:r>
        <w:t xml:space="preserve"> </w:t>
      </w:r>
      <w:r>
        <w:t xml:space="preserve">groupings</w:t>
      </w:r>
    </w:p>
    <w:tbl>
      <w:tblPr>
        <w:tblStyle w:val="Table"/>
        <w:tblW w:type="auto" w:w="0"/>
        <w:tblLook w:firstRow="1" w:lastRow="0" w:firstColumn="0" w:lastColumn="0" w:noHBand="0" w:noVBand="0" w:val="0020"/>
        <w:tblCaption w:val="Table 2: Species assessed at the Alaska Fisheries Science Center that were evaluated in the bootstrap analysis by ‘flatfish’, ‘rockfish’ and ‘roundfish’ groupings"/>
      </w:tblPr>
      <w:tblGrid>
        <w:gridCol w:w="2640"/>
        <w:gridCol w:w="2640"/>
        <w:gridCol w:w="2640"/>
      </w:tblGrid>
      <w:tr>
        <w:trPr>
          <w:tblHeader w:val="true"/>
        </w:trPr>
        <w:tc>
          <w:tcPr/>
          <w:p>
            <w:pPr>
              <w:pStyle w:val="Compact"/>
              <w:jc w:val="center"/>
            </w:pPr>
            <w:r>
              <w:t xml:space="preserve">Flatfish</w:t>
            </w:r>
          </w:p>
        </w:tc>
        <w:tc>
          <w:tcPr/>
          <w:p>
            <w:pPr>
              <w:pStyle w:val="Compact"/>
              <w:jc w:val="center"/>
            </w:pPr>
            <w:r>
              <w:t xml:space="preserve">Rockfish</w:t>
            </w:r>
          </w:p>
        </w:tc>
        <w:tc>
          <w:tcPr/>
          <w:p>
            <w:pPr>
              <w:pStyle w:val="Compact"/>
              <w:jc w:val="center"/>
            </w:pPr>
            <w:r>
              <w:t xml:space="preserve">Roundfish</w:t>
            </w:r>
          </w:p>
        </w:tc>
      </w:tr>
      <w:tr>
        <w:tc>
          <w:tcPr/>
          <w:p>
            <w:pPr>
              <w:pStyle w:val="Compact"/>
              <w:jc w:val="center"/>
            </w:pPr>
            <w:r>
              <w:t xml:space="preserve">Alaska plaice</w:t>
            </w:r>
          </w:p>
        </w:tc>
        <w:tc>
          <w:tcPr/>
          <w:p>
            <w:pPr>
              <w:pStyle w:val="Compact"/>
              <w:jc w:val="center"/>
            </w:pPr>
            <w:r>
              <w:t xml:space="preserve">Dusky rockfish</w:t>
            </w:r>
          </w:p>
        </w:tc>
        <w:tc>
          <w:tcPr/>
          <w:p>
            <w:pPr>
              <w:pStyle w:val="Compact"/>
              <w:jc w:val="center"/>
            </w:pPr>
            <w:r>
              <w:t xml:space="preserve">Atka mackerel</w:t>
            </w:r>
          </w:p>
        </w:tc>
      </w:tr>
      <w:tr>
        <w:tc>
          <w:tcPr/>
          <w:p>
            <w:pPr>
              <w:pStyle w:val="Compact"/>
              <w:jc w:val="center"/>
            </w:pPr>
            <w:r>
              <w:t xml:space="preserve">arrowtooth flounder</w:t>
            </w:r>
          </w:p>
        </w:tc>
        <w:tc>
          <w:tcPr/>
          <w:p>
            <w:pPr>
              <w:pStyle w:val="Compact"/>
              <w:jc w:val="center"/>
            </w:pPr>
            <w:r>
              <w:t xml:space="preserve">northern rockfish</w:t>
            </w:r>
          </w:p>
        </w:tc>
        <w:tc>
          <w:tcPr/>
          <w:p>
            <w:pPr>
              <w:pStyle w:val="Compact"/>
              <w:jc w:val="center"/>
            </w:pPr>
            <w:r>
              <w:t xml:space="preserve">Pacific cod</w:t>
            </w:r>
          </w:p>
        </w:tc>
      </w:tr>
      <w:tr>
        <w:tc>
          <w:tcPr/>
          <w:p>
            <w:pPr>
              <w:pStyle w:val="Compact"/>
              <w:jc w:val="center"/>
            </w:pPr>
            <w:r>
              <w:t xml:space="preserve">Dover sole</w:t>
            </w:r>
          </w:p>
        </w:tc>
        <w:tc>
          <w:tcPr/>
          <w:p>
            <w:pPr>
              <w:pStyle w:val="Compact"/>
              <w:jc w:val="center"/>
            </w:pPr>
            <w:r>
              <w:t xml:space="preserve">Pacific ocean perch</w:t>
            </w:r>
          </w:p>
        </w:tc>
        <w:tc>
          <w:tcPr/>
          <w:p>
            <w:pPr>
              <w:pStyle w:val="Compact"/>
              <w:jc w:val="center"/>
            </w:pPr>
            <w:r>
              <w:t xml:space="preserve">sablefish</w:t>
            </w:r>
          </w:p>
        </w:tc>
      </w:tr>
      <w:tr>
        <w:tc>
          <w:tcPr/>
          <w:p>
            <w:pPr>
              <w:pStyle w:val="Compact"/>
              <w:jc w:val="center"/>
            </w:pPr>
            <w:r>
              <w:t xml:space="preserve">flathead sole</w:t>
            </w:r>
          </w:p>
        </w:tc>
        <w:tc>
          <w:tcPr/>
          <w:p>
            <w:pPr>
              <w:pStyle w:val="Compact"/>
              <w:jc w:val="center"/>
            </w:pPr>
            <w:r>
              <w:t xml:space="preserve">REBS rockfish complex</w:t>
            </w:r>
          </w:p>
        </w:tc>
        <w:tc>
          <w:tcPr/>
          <w:p>
            <w:pPr>
              <w:pStyle w:val="Compact"/>
              <w:jc w:val="center"/>
            </w:pPr>
            <w:r>
              <w:t xml:space="preserve">walleye pollock</w:t>
            </w:r>
          </w:p>
        </w:tc>
      </w:tr>
      <w:tr>
        <w:tc>
          <w:tcPr/>
          <w:p>
            <w:pPr>
              <w:pStyle w:val="Compact"/>
              <w:jc w:val="center"/>
            </w:pPr>
            <w:r>
              <w:t xml:space="preserve">Greenland turbot</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Kamchatka flounder</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northern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rex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southern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yellowfin sole</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3: Average length frequency samples (nominal) and average length composition input sample size (iss) from the Eastern Bering Sea shelf bottom trawl survey.</w:t>
      </w:r>
    </w:p>
    <w:tbl>
      <w:tblPr>
        <w:tblStyle w:val="Table"/>
        <w:tblW w:type="auto" w:w="0"/>
        <w:tblLook w:firstRow="1" w:lastRow="0" w:firstColumn="0" w:lastColumn="0" w:noHBand="0" w:noVBand="0" w:val="0020"/>
        <w:tblCaption w:val="Table 3: Average length frequency samples (nominal) and average length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5,209</w:t>
            </w:r>
          </w:p>
        </w:tc>
        <w:tc>
          <w:tcPr/>
          <w:p>
            <w:pPr>
              <w:pStyle w:val="Compact"/>
              <w:jc w:val="center"/>
            </w:pPr>
            <w:r>
              <w:t xml:space="preserve">5,135</w:t>
            </w:r>
          </w:p>
        </w:tc>
        <w:tc>
          <w:tcPr/>
          <w:p>
            <w:pPr>
              <w:pStyle w:val="Compact"/>
              <w:jc w:val="center"/>
            </w:pPr>
            <w:r>
              <w:t xml:space="preserve">10,800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1,122</w:t>
            </w:r>
          </w:p>
        </w:tc>
        <w:tc>
          <w:tcPr/>
          <w:p>
            <w:pPr>
              <w:pStyle w:val="Compact"/>
              <w:jc w:val="center"/>
            </w:pPr>
            <w:r>
              <w:t xml:space="preserve">1,079</w:t>
            </w:r>
          </w:p>
        </w:tc>
        <w:tc>
          <w:tcPr/>
          <w:p>
            <w:pPr>
              <w:pStyle w:val="Compact"/>
              <w:jc w:val="center"/>
            </w:pPr>
            <w:r>
              <w:t xml:space="preserve">1,685</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6,715</w:t>
            </w:r>
          </w:p>
        </w:tc>
        <w:tc>
          <w:tcPr/>
          <w:p>
            <w:pPr>
              <w:pStyle w:val="Compact"/>
              <w:jc w:val="center"/>
            </w:pPr>
            <w:r>
              <w:t xml:space="preserve">2,806</w:t>
            </w:r>
          </w:p>
        </w:tc>
        <w:tc>
          <w:tcPr/>
          <w:p>
            <w:pPr>
              <w:pStyle w:val="Compact"/>
              <w:jc w:val="center"/>
            </w:pPr>
            <w:r>
              <w:t xml:space="preserve">9,779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1,989</w:t>
            </w:r>
          </w:p>
        </w:tc>
        <w:tc>
          <w:tcPr/>
          <w:p>
            <w:pPr>
              <w:pStyle w:val="Compact"/>
              <w:jc w:val="center"/>
            </w:pPr>
            <w:r>
              <w:t xml:space="preserve">999</w:t>
            </w:r>
          </w:p>
        </w:tc>
        <w:tc>
          <w:tcPr/>
          <w:p>
            <w:pPr>
              <w:pStyle w:val="Compact"/>
              <w:jc w:val="center"/>
            </w:pPr>
            <w:r>
              <w:t xml:space="preserve">2,565</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8,145</w:t>
            </w:r>
          </w:p>
        </w:tc>
        <w:tc>
          <w:tcPr/>
          <w:p>
            <w:pPr>
              <w:pStyle w:val="Compact"/>
              <w:jc w:val="center"/>
            </w:pPr>
            <w:r>
              <w:t xml:space="preserve">7,994</w:t>
            </w:r>
          </w:p>
        </w:tc>
        <w:tc>
          <w:tcPr/>
          <w:p>
            <w:pPr>
              <w:pStyle w:val="Compact"/>
              <w:jc w:val="center"/>
            </w:pPr>
            <w:r>
              <w:t xml:space="preserve">17,193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1,538</w:t>
            </w:r>
          </w:p>
        </w:tc>
        <w:tc>
          <w:tcPr/>
          <w:p>
            <w:pPr>
              <w:pStyle w:val="Compact"/>
              <w:jc w:val="center"/>
            </w:pPr>
            <w:r>
              <w:t xml:space="preserve">1,298</w:t>
            </w:r>
          </w:p>
        </w:tc>
        <w:tc>
          <w:tcPr/>
          <w:p>
            <w:pPr>
              <w:pStyle w:val="Compact"/>
              <w:jc w:val="center"/>
            </w:pPr>
            <w:r>
              <w:t xml:space="preserve">2,302</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301</w:t>
            </w:r>
          </w:p>
        </w:tc>
        <w:tc>
          <w:tcPr/>
          <w:p>
            <w:pPr>
              <w:pStyle w:val="Compact"/>
              <w:jc w:val="center"/>
            </w:pPr>
            <w:r>
              <w:t xml:space="preserve">316</w:t>
            </w:r>
          </w:p>
        </w:tc>
        <w:tc>
          <w:tcPr/>
          <w:p>
            <w:pPr>
              <w:pStyle w:val="Compact"/>
              <w:jc w:val="center"/>
            </w:pPr>
            <w:r>
              <w:t xml:space="preserve">720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35</w:t>
            </w:r>
          </w:p>
        </w:tc>
        <w:tc>
          <w:tcPr/>
          <w:p>
            <w:pPr>
              <w:pStyle w:val="Compact"/>
              <w:jc w:val="center"/>
            </w:pPr>
            <w:r>
              <w:t xml:space="preserve">115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875</w:t>
            </w:r>
          </w:p>
        </w:tc>
        <w:tc>
          <w:tcPr/>
          <w:p>
            <w:pPr>
              <w:pStyle w:val="Compact"/>
              <w:jc w:val="center"/>
            </w:pPr>
            <w:r>
              <w:t xml:space="preserve">882</w:t>
            </w:r>
          </w:p>
        </w:tc>
        <w:tc>
          <w:tcPr/>
          <w:p>
            <w:pPr>
              <w:pStyle w:val="Compact"/>
              <w:jc w:val="center"/>
            </w:pPr>
            <w:r>
              <w:t xml:space="preserve">1,776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355</w:t>
            </w:r>
          </w:p>
        </w:tc>
        <w:tc>
          <w:tcPr/>
          <w:p>
            <w:pPr>
              <w:pStyle w:val="Compact"/>
              <w:jc w:val="center"/>
            </w:pPr>
            <w:r>
              <w:t xml:space="preserve">679</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14,060</w:t>
            </w:r>
          </w:p>
        </w:tc>
        <w:tc>
          <w:tcPr/>
          <w:p>
            <w:pPr>
              <w:pStyle w:val="Compact"/>
              <w:jc w:val="center"/>
            </w:pPr>
            <w:r>
              <w:t xml:space="preserve">14,285</w:t>
            </w:r>
          </w:p>
        </w:tc>
        <w:tc>
          <w:tcPr/>
          <w:p>
            <w:pPr>
              <w:pStyle w:val="Compact"/>
              <w:jc w:val="center"/>
            </w:pPr>
            <w:r>
              <w:t xml:space="preserve">29,137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1,272</w:t>
            </w:r>
          </w:p>
        </w:tc>
        <w:tc>
          <w:tcPr/>
          <w:p>
            <w:pPr>
              <w:pStyle w:val="Compact"/>
              <w:jc w:val="center"/>
            </w:pPr>
            <w:r>
              <w:t xml:space="preserve">1,153</w:t>
            </w:r>
          </w:p>
        </w:tc>
        <w:tc>
          <w:tcPr/>
          <w:p>
            <w:pPr>
              <w:pStyle w:val="Compact"/>
              <w:jc w:val="center"/>
            </w:pPr>
            <w:r>
              <w:t xml:space="preserve">1,933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6,032</w:t>
            </w:r>
          </w:p>
        </w:tc>
        <w:tc>
          <w:tcPr/>
          <w:p>
            <w:pPr>
              <w:pStyle w:val="Compact"/>
              <w:jc w:val="center"/>
            </w:pPr>
            <w:r>
              <w:t xml:space="preserve">6,210</w:t>
            </w:r>
          </w:p>
        </w:tc>
        <w:tc>
          <w:tcPr/>
          <w:p>
            <w:pPr>
              <w:pStyle w:val="Compact"/>
              <w:jc w:val="center"/>
            </w:pPr>
            <w:r>
              <w:t xml:space="preserve">13,320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1,693</w:t>
            </w:r>
          </w:p>
        </w:tc>
        <w:tc>
          <w:tcPr/>
          <w:p>
            <w:pPr>
              <w:pStyle w:val="Compact"/>
              <w:jc w:val="center"/>
            </w:pPr>
            <w:r>
              <w:t xml:space="preserve">1,631</w:t>
            </w:r>
          </w:p>
        </w:tc>
        <w:tc>
          <w:tcPr/>
          <w:p>
            <w:pPr>
              <w:pStyle w:val="Compact"/>
              <w:jc w:val="center"/>
            </w:pPr>
            <w:r>
              <w:t xml:space="preserve">2,655</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28,713</w:t>
            </w:r>
          </w:p>
        </w:tc>
        <w:tc>
          <w:tcPr/>
          <w:p>
            <w:pPr>
              <w:pStyle w:val="Compact"/>
              <w:jc w:val="center"/>
            </w:pPr>
            <w:r>
              <w:t xml:space="preserve">29,373</w:t>
            </w:r>
          </w:p>
        </w:tc>
        <w:tc>
          <w:tcPr/>
          <w:p>
            <w:pPr>
              <w:pStyle w:val="Compact"/>
              <w:jc w:val="center"/>
            </w:pPr>
            <w:r>
              <w:t xml:space="preserve">82,451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2,138</w:t>
            </w:r>
          </w:p>
        </w:tc>
        <w:tc>
          <w:tcPr/>
          <w:p>
            <w:pPr>
              <w:pStyle w:val="Compact"/>
              <w:jc w:val="center"/>
            </w:pPr>
            <w:r>
              <w:t xml:space="preserve">2,015</w:t>
            </w:r>
          </w:p>
        </w:tc>
        <w:tc>
          <w:tcPr/>
          <w:p>
            <w:pPr>
              <w:pStyle w:val="Compact"/>
              <w:jc w:val="center"/>
            </w:pPr>
            <w:r>
              <w:t xml:space="preserve">2,448</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17,326</w:t>
            </w:r>
          </w:p>
        </w:tc>
        <w:tc>
          <w:tcPr/>
          <w:p>
            <w:pPr>
              <w:pStyle w:val="Compact"/>
              <w:jc w:val="center"/>
            </w:pPr>
            <w:r>
              <w:t xml:space="preserve">10,952</w:t>
            </w:r>
          </w:p>
        </w:tc>
        <w:tc>
          <w:tcPr/>
          <w:p>
            <w:pPr>
              <w:pStyle w:val="Compact"/>
              <w:jc w:val="center"/>
            </w:pPr>
            <w:r>
              <w:t xml:space="preserve">29,803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1,653</w:t>
            </w:r>
          </w:p>
        </w:tc>
        <w:tc>
          <w:tcPr/>
          <w:p>
            <w:pPr>
              <w:pStyle w:val="Compact"/>
              <w:jc w:val="center"/>
            </w:pPr>
            <w:r>
              <w:t xml:space="preserve">1,012</w:t>
            </w:r>
          </w:p>
        </w:tc>
        <w:tc>
          <w:tcPr/>
          <w:p>
            <w:pPr>
              <w:pStyle w:val="Compact"/>
              <w:jc w:val="center"/>
            </w:pPr>
            <w:r>
              <w:t xml:space="preserve">1,166</w:t>
            </w:r>
          </w:p>
        </w:tc>
      </w:tr>
    </w:tbl>
    <w:p>
      <w:r>
        <w:br w:type="page"/>
      </w:r>
    </w:p>
    <w:p>
      <w:pPr>
        <w:pStyle w:val="TableCaption"/>
      </w:pPr>
      <w:r>
        <w:t xml:space="preserve">Table 4: Average length frequency samples (nominal) and average length composition input sample size (iss) from the Eastern Bering Sea slope bottom trawl survey.</w:t>
      </w:r>
    </w:p>
    <w:tbl>
      <w:tblPr>
        <w:tblStyle w:val="Table"/>
        <w:tblW w:type="auto" w:w="0"/>
        <w:tblLook w:firstRow="1" w:lastRow="0" w:firstColumn="0" w:lastColumn="0" w:noHBand="0" w:noVBand="0" w:val="0020"/>
        <w:tblCaption w:val="Table 4: Average length frequency samples (nominal) and average length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4,623</w:t>
            </w:r>
          </w:p>
        </w:tc>
        <w:tc>
          <w:tcPr/>
          <w:p>
            <w:pPr>
              <w:pStyle w:val="Compact"/>
              <w:jc w:val="center"/>
            </w:pPr>
            <w:r>
              <w:t xml:space="preserve">1,138</w:t>
            </w:r>
          </w:p>
        </w:tc>
        <w:tc>
          <w:tcPr/>
          <w:p>
            <w:pPr>
              <w:pStyle w:val="Compact"/>
              <w:jc w:val="center"/>
            </w:pPr>
            <w:r>
              <w:t xml:space="preserve">5,761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578</w:t>
            </w:r>
          </w:p>
        </w:tc>
        <w:tc>
          <w:tcPr/>
          <w:p>
            <w:pPr>
              <w:pStyle w:val="Compact"/>
              <w:jc w:val="center"/>
            </w:pPr>
            <w:r>
              <w:t xml:space="preserve">1,017</w:t>
            </w:r>
          </w:p>
        </w:tc>
        <w:tc>
          <w:tcPr/>
          <w:p>
            <w:pPr>
              <w:pStyle w:val="Compact"/>
              <w:jc w:val="center"/>
            </w:pPr>
            <w:r>
              <w:t xml:space="preserve">1,595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172</w:t>
            </w:r>
          </w:p>
        </w:tc>
        <w:tc>
          <w:tcPr/>
          <w:p>
            <w:pPr>
              <w:pStyle w:val="Compact"/>
              <w:jc w:val="center"/>
            </w:pPr>
            <w:r>
              <w:t xml:space="preserve">232</w:t>
            </w:r>
          </w:p>
        </w:tc>
        <w:tc>
          <w:tcPr/>
          <w:p>
            <w:pPr>
              <w:pStyle w:val="Compact"/>
              <w:jc w:val="center"/>
            </w:pPr>
            <w:r>
              <w:t xml:space="preserve">335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1,345</w:t>
            </w:r>
          </w:p>
        </w:tc>
        <w:tc>
          <w:tcPr/>
          <w:p>
            <w:pPr>
              <w:pStyle w:val="Compact"/>
              <w:jc w:val="center"/>
            </w:pPr>
            <w:r>
              <w:t xml:space="preserve">1,915</w:t>
            </w:r>
          </w:p>
        </w:tc>
        <w:tc>
          <w:tcPr/>
          <w:p>
            <w:pPr>
              <w:pStyle w:val="Compact"/>
              <w:jc w:val="center"/>
            </w:pPr>
            <w:r>
              <w:t xml:space="preserve">3,260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382</w:t>
            </w:r>
          </w:p>
        </w:tc>
        <w:tc>
          <w:tcPr/>
          <w:p>
            <w:pPr>
              <w:pStyle w:val="Compact"/>
              <w:jc w:val="center"/>
            </w:pPr>
            <w:r>
              <w:t xml:space="preserve">403</w:t>
            </w:r>
          </w:p>
        </w:tc>
        <w:tc>
          <w:tcPr/>
          <w:p>
            <w:pPr>
              <w:pStyle w:val="Compact"/>
              <w:jc w:val="center"/>
            </w:pPr>
            <w:r>
              <w:t xml:space="preserve">698</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1,378</w:t>
            </w:r>
          </w:p>
        </w:tc>
        <w:tc>
          <w:tcPr/>
          <w:p>
            <w:pPr>
              <w:pStyle w:val="Compact"/>
              <w:jc w:val="center"/>
            </w:pPr>
            <w:r>
              <w:t xml:space="preserve">1,759</w:t>
            </w:r>
          </w:p>
        </w:tc>
        <w:tc>
          <w:tcPr/>
          <w:p>
            <w:pPr>
              <w:pStyle w:val="Compact"/>
              <w:jc w:val="center"/>
            </w:pPr>
            <w:r>
              <w:t xml:space="preserve">3,191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81</w:t>
            </w:r>
          </w:p>
        </w:tc>
        <w:tc>
          <w:tcPr/>
          <w:p>
            <w:pPr>
              <w:pStyle w:val="Compact"/>
              <w:jc w:val="center"/>
            </w:pPr>
            <w:r>
              <w:t xml:space="preserve">137</w:t>
            </w:r>
          </w:p>
        </w:tc>
      </w:tr>
    </w:tbl>
    <w:p>
      <w:r>
        <w:br w:type="page"/>
      </w:r>
    </w:p>
    <w:p>
      <w:pPr>
        <w:pStyle w:val="TableCaption"/>
      </w:pPr>
      <w:r>
        <w:t xml:space="preserve">Table 5: Average length frequency samples (nominal) and average length composition input sample size (iss) from the Aleutian Islands bottom trawl surveys.</w:t>
      </w:r>
    </w:p>
    <w:tbl>
      <w:tblPr>
        <w:tblStyle w:val="Table"/>
        <w:tblW w:type="auto" w:w="0"/>
        <w:tblLook w:firstRow="1" w:lastRow="0" w:firstColumn="0" w:lastColumn="0" w:noHBand="0" w:noVBand="0" w:val="0020"/>
        <w:tblCaption w:val="Table 5: Average length frequency samples (nominal) and average length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6,306</w:t>
            </w:r>
          </w:p>
        </w:tc>
        <w:tc>
          <w:tcPr/>
          <w:p>
            <w:pPr>
              <w:pStyle w:val="Compact"/>
              <w:jc w:val="center"/>
            </w:pPr>
            <w:r>
              <w:t xml:space="preserve">3,921</w:t>
            </w:r>
          </w:p>
        </w:tc>
        <w:tc>
          <w:tcPr/>
          <w:p>
            <w:pPr>
              <w:pStyle w:val="Compact"/>
              <w:jc w:val="center"/>
            </w:pPr>
            <w:r>
              <w:t xml:space="preserve">10,607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676</w:t>
            </w:r>
          </w:p>
        </w:tc>
        <w:tc>
          <w:tcPr/>
          <w:p>
            <w:pPr>
              <w:pStyle w:val="Compact"/>
              <w:jc w:val="center"/>
            </w:pPr>
            <w:r>
              <w:t xml:space="preserve">353</w:t>
            </w:r>
          </w:p>
        </w:tc>
        <w:tc>
          <w:tcPr/>
          <w:p>
            <w:pPr>
              <w:pStyle w:val="Compact"/>
              <w:jc w:val="center"/>
            </w:pPr>
            <w:r>
              <w:t xml:space="preserve">793</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4,561</w:t>
            </w:r>
          </w:p>
        </w:tc>
        <w:tc>
          <w:tcPr/>
          <w:p>
            <w:pPr>
              <w:pStyle w:val="Compact"/>
              <w:jc w:val="center"/>
            </w:pPr>
            <w:r>
              <w:t xml:space="preserve">4,292</w:t>
            </w:r>
          </w:p>
        </w:tc>
        <w:tc>
          <w:tcPr/>
          <w:p>
            <w:pPr>
              <w:pStyle w:val="Compact"/>
              <w:jc w:val="center"/>
            </w:pPr>
            <w:r>
              <w:t xml:space="preserve">9,110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166</w:t>
            </w:r>
          </w:p>
        </w:tc>
        <w:tc>
          <w:tcPr/>
          <w:p>
            <w:pPr>
              <w:pStyle w:val="Compact"/>
              <w:jc w:val="center"/>
            </w:pPr>
            <w:r>
              <w:t xml:space="preserve">148</w:t>
            </w:r>
          </w:p>
        </w:tc>
        <w:tc>
          <w:tcPr/>
          <w:p>
            <w:pPr>
              <w:pStyle w:val="Compact"/>
              <w:jc w:val="center"/>
            </w:pPr>
            <w:r>
              <w:t xml:space="preserve">194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1,119</w:t>
            </w:r>
          </w:p>
        </w:tc>
        <w:tc>
          <w:tcPr/>
          <w:p>
            <w:pPr>
              <w:pStyle w:val="Compact"/>
              <w:jc w:val="center"/>
            </w:pPr>
            <w:r>
              <w:t xml:space="preserve">1,597</w:t>
            </w:r>
          </w:p>
        </w:tc>
        <w:tc>
          <w:tcPr/>
          <w:p>
            <w:pPr>
              <w:pStyle w:val="Compact"/>
              <w:jc w:val="center"/>
            </w:pPr>
            <w:r>
              <w:t xml:space="preserve">2,718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203</w:t>
            </w:r>
          </w:p>
        </w:tc>
        <w:tc>
          <w:tcPr/>
          <w:p>
            <w:pPr>
              <w:pStyle w:val="Compact"/>
              <w:jc w:val="center"/>
            </w:pPr>
            <w:r>
              <w:t xml:space="preserve">188</w:t>
            </w:r>
          </w:p>
        </w:tc>
        <w:tc>
          <w:tcPr/>
          <w:p>
            <w:pPr>
              <w:pStyle w:val="Compact"/>
              <w:jc w:val="center"/>
            </w:pPr>
            <w:r>
              <w:t xml:space="preserve">292</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5,607</w:t>
            </w:r>
          </w:p>
        </w:tc>
        <w:tc>
          <w:tcPr/>
          <w:p>
            <w:pPr>
              <w:pStyle w:val="Compact"/>
              <w:jc w:val="center"/>
            </w:pPr>
            <w:r>
              <w:t xml:space="preserve">3,553</w:t>
            </w:r>
          </w:p>
        </w:tc>
        <w:tc>
          <w:tcPr/>
          <w:p>
            <w:pPr>
              <w:pStyle w:val="Compact"/>
              <w:jc w:val="center"/>
            </w:pPr>
            <w:r>
              <w:t xml:space="preserve">9,290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183</w:t>
            </w:r>
          </w:p>
        </w:tc>
        <w:tc>
          <w:tcPr/>
          <w:p>
            <w:pPr>
              <w:pStyle w:val="Compact"/>
              <w:jc w:val="center"/>
            </w:pPr>
            <w:r>
              <w:t xml:space="preserve">161</w:t>
            </w:r>
          </w:p>
        </w:tc>
        <w:tc>
          <w:tcPr/>
          <w:p>
            <w:pPr>
              <w:pStyle w:val="Compact"/>
              <w:jc w:val="center"/>
            </w:pPr>
            <w:r>
              <w:t xml:space="preserve">224</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3,269</w:t>
            </w:r>
          </w:p>
        </w:tc>
        <w:tc>
          <w:tcPr/>
          <w:p>
            <w:pPr>
              <w:pStyle w:val="Compact"/>
              <w:jc w:val="center"/>
            </w:pPr>
            <w:r>
              <w:t xml:space="preserve">3,516</w:t>
            </w:r>
          </w:p>
        </w:tc>
        <w:tc>
          <w:tcPr/>
          <w:p>
            <w:pPr>
              <w:pStyle w:val="Compact"/>
              <w:jc w:val="center"/>
            </w:pPr>
            <w:r>
              <w:t xml:space="preserve">7,080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442</w:t>
            </w:r>
          </w:p>
        </w:tc>
        <w:tc>
          <w:tcPr/>
          <w:p>
            <w:pPr>
              <w:pStyle w:val="Compact"/>
              <w:jc w:val="center"/>
            </w:pPr>
            <w:r>
              <w:t xml:space="preserve">456</w:t>
            </w:r>
          </w:p>
        </w:tc>
        <w:tc>
          <w:tcPr/>
          <w:p>
            <w:pPr>
              <w:pStyle w:val="Compact"/>
              <w:jc w:val="center"/>
            </w:pPr>
            <w:r>
              <w:t xml:space="preserve">699</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9,841</w:t>
            </w:r>
          </w:p>
        </w:tc>
        <w:tc>
          <w:tcPr/>
          <w:p>
            <w:pPr>
              <w:pStyle w:val="Compact"/>
              <w:jc w:val="center"/>
            </w:pPr>
            <w:r>
              <w:t xml:space="preserve">13,175</w:t>
            </w:r>
          </w:p>
        </w:tc>
        <w:tc>
          <w:tcPr/>
          <w:p>
            <w:pPr>
              <w:pStyle w:val="Compact"/>
              <w:jc w:val="center"/>
            </w:pPr>
            <w:r>
              <w:t xml:space="preserve">23,538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472</w:t>
            </w:r>
          </w:p>
        </w:tc>
        <w:tc>
          <w:tcPr/>
          <w:p>
            <w:pPr>
              <w:pStyle w:val="Compact"/>
              <w:jc w:val="center"/>
            </w:pPr>
            <w:r>
              <w:t xml:space="preserve">620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890</w:t>
            </w:r>
          </w:p>
        </w:tc>
        <w:tc>
          <w:tcPr/>
          <w:p>
            <w:pPr>
              <w:pStyle w:val="Compact"/>
              <w:jc w:val="center"/>
            </w:pPr>
            <w:r>
              <w:t xml:space="preserve">939</w:t>
            </w:r>
          </w:p>
        </w:tc>
        <w:tc>
          <w:tcPr/>
          <w:p>
            <w:pPr>
              <w:pStyle w:val="Compact"/>
              <w:jc w:val="center"/>
            </w:pPr>
            <w:r>
              <w:t xml:space="preserve">2,061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147</w:t>
            </w:r>
          </w:p>
        </w:tc>
        <w:tc>
          <w:tcPr/>
          <w:p>
            <w:pPr>
              <w:pStyle w:val="Compact"/>
              <w:jc w:val="center"/>
            </w:pPr>
            <w:r>
              <w:t xml:space="preserve">242</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7,778</w:t>
            </w:r>
          </w:p>
        </w:tc>
        <w:tc>
          <w:tcPr/>
          <w:p>
            <w:pPr>
              <w:pStyle w:val="Compact"/>
              <w:jc w:val="center"/>
            </w:pPr>
            <w:r>
              <w:t xml:space="preserve">6,257</w:t>
            </w:r>
          </w:p>
        </w:tc>
        <w:tc>
          <w:tcPr/>
          <w:p>
            <w:pPr>
              <w:pStyle w:val="Compact"/>
              <w:jc w:val="center"/>
            </w:pPr>
            <w:r>
              <w:t xml:space="preserve">14,529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296</w:t>
            </w:r>
          </w:p>
        </w:tc>
        <w:tc>
          <w:tcPr/>
          <w:p>
            <w:pPr>
              <w:pStyle w:val="Compact"/>
              <w:jc w:val="center"/>
            </w:pPr>
            <w:r>
              <w:t xml:space="preserve">220</w:t>
            </w:r>
          </w:p>
        </w:tc>
        <w:tc>
          <w:tcPr/>
          <w:p>
            <w:pPr>
              <w:pStyle w:val="Compact"/>
              <w:jc w:val="center"/>
            </w:pPr>
            <w:r>
              <w:t xml:space="preserve">288</w:t>
            </w:r>
          </w:p>
        </w:tc>
      </w:tr>
    </w:tbl>
    <w:p>
      <w:r>
        <w:br w:type="page"/>
      </w:r>
    </w:p>
    <w:p>
      <w:pPr>
        <w:pStyle w:val="TableCaption"/>
      </w:pPr>
      <w:r>
        <w:t xml:space="preserve">Table 6: Average length frequency samples (nominal) and average length composition input sample size (iss) from the Gulf of Alaska bottom trawl surveys.</w:t>
      </w:r>
    </w:p>
    <w:tbl>
      <w:tblPr>
        <w:tblStyle w:val="Table"/>
        <w:tblW w:type="auto" w:w="0"/>
        <w:tblLook w:firstRow="1" w:lastRow="0" w:firstColumn="0" w:lastColumn="0" w:noHBand="0" w:noVBand="0" w:val="0020"/>
        <w:tblCaption w:val="Table 6: Average length frequency samples (nominal) and average length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35,553</w:t>
            </w:r>
          </w:p>
        </w:tc>
        <w:tc>
          <w:tcPr/>
          <w:p>
            <w:pPr>
              <w:pStyle w:val="Compact"/>
              <w:jc w:val="center"/>
            </w:pPr>
            <w:r>
              <w:t xml:space="preserve">17,117</w:t>
            </w:r>
          </w:p>
        </w:tc>
        <w:tc>
          <w:tcPr/>
          <w:p>
            <w:pPr>
              <w:pStyle w:val="Compact"/>
              <w:jc w:val="center"/>
            </w:pPr>
            <w:r>
              <w:t xml:space="preserve">54,108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3,637</w:t>
            </w:r>
          </w:p>
        </w:tc>
        <w:tc>
          <w:tcPr/>
          <w:p>
            <w:pPr>
              <w:pStyle w:val="Compact"/>
              <w:jc w:val="center"/>
            </w:pPr>
            <w:r>
              <w:t xml:space="preserve">1,860</w:t>
            </w:r>
          </w:p>
        </w:tc>
        <w:tc>
          <w:tcPr/>
          <w:p>
            <w:pPr>
              <w:pStyle w:val="Compact"/>
              <w:jc w:val="center"/>
            </w:pPr>
            <w:r>
              <w:t xml:space="preserve">4,581</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2,523</w:t>
            </w:r>
          </w:p>
        </w:tc>
        <w:tc>
          <w:tcPr/>
          <w:p>
            <w:pPr>
              <w:pStyle w:val="Compact"/>
              <w:jc w:val="center"/>
            </w:pPr>
            <w:r>
              <w:t xml:space="preserve">3,209</w:t>
            </w:r>
          </w:p>
        </w:tc>
        <w:tc>
          <w:tcPr/>
          <w:p>
            <w:pPr>
              <w:pStyle w:val="Compact"/>
              <w:jc w:val="center"/>
            </w:pPr>
            <w:r>
              <w:t xml:space="preserve">6,084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601</w:t>
            </w:r>
          </w:p>
        </w:tc>
        <w:tc>
          <w:tcPr/>
          <w:p>
            <w:pPr>
              <w:pStyle w:val="Compact"/>
              <w:jc w:val="center"/>
            </w:pPr>
            <w:r>
              <w:t xml:space="preserve">623</w:t>
            </w:r>
          </w:p>
        </w:tc>
        <w:tc>
          <w:tcPr/>
          <w:p>
            <w:pPr>
              <w:pStyle w:val="Compact"/>
              <w:jc w:val="center"/>
            </w:pPr>
            <w:r>
              <w:t xml:space="preserve">1,089</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1,039</w:t>
            </w:r>
          </w:p>
        </w:tc>
        <w:tc>
          <w:tcPr/>
          <w:p>
            <w:pPr>
              <w:pStyle w:val="Compact"/>
              <w:jc w:val="center"/>
            </w:pPr>
            <w:r>
              <w:t xml:space="preserve">923</w:t>
            </w:r>
          </w:p>
        </w:tc>
        <w:tc>
          <w:tcPr/>
          <w:p>
            <w:pPr>
              <w:pStyle w:val="Compact"/>
              <w:jc w:val="center"/>
            </w:pPr>
            <w:r>
              <w:t xml:space="preserve">1,997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w:t>
            </w:r>
          </w:p>
        </w:tc>
        <w:tc>
          <w:tcPr/>
          <w:p>
            <w:pPr>
              <w:pStyle w:val="Compact"/>
              <w:jc w:val="center"/>
            </w:pPr>
            <w:r>
              <w:t xml:space="preserve">118</w:t>
            </w:r>
          </w:p>
        </w:tc>
        <w:tc>
          <w:tcPr/>
          <w:p>
            <w:pPr>
              <w:pStyle w:val="Compact"/>
              <w:jc w:val="center"/>
            </w:pPr>
            <w:r>
              <w:t xml:space="preserve">194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10,753</w:t>
            </w:r>
          </w:p>
        </w:tc>
        <w:tc>
          <w:tcPr/>
          <w:p>
            <w:pPr>
              <w:pStyle w:val="Compact"/>
              <w:jc w:val="center"/>
            </w:pPr>
            <w:r>
              <w:t xml:space="preserve">9,799</w:t>
            </w:r>
          </w:p>
        </w:tc>
        <w:tc>
          <w:tcPr/>
          <w:p>
            <w:pPr>
              <w:pStyle w:val="Compact"/>
              <w:jc w:val="center"/>
            </w:pPr>
            <w:r>
              <w:t xml:space="preserve">21,318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1,469</w:t>
            </w:r>
          </w:p>
        </w:tc>
        <w:tc>
          <w:tcPr/>
          <w:p>
            <w:pPr>
              <w:pStyle w:val="Compact"/>
              <w:jc w:val="center"/>
            </w:pPr>
            <w:r>
              <w:t xml:space="preserve">1,139</w:t>
            </w:r>
          </w:p>
        </w:tc>
        <w:tc>
          <w:tcPr/>
          <w:p>
            <w:pPr>
              <w:pStyle w:val="Compact"/>
              <w:jc w:val="center"/>
            </w:pPr>
            <w:r>
              <w:t xml:space="preserve">2,214</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1,971</w:t>
            </w:r>
          </w:p>
        </w:tc>
        <w:tc>
          <w:tcPr/>
          <w:p>
            <w:pPr>
              <w:pStyle w:val="Compact"/>
              <w:jc w:val="center"/>
            </w:pPr>
            <w:r>
              <w:t xml:space="preserve">1,827</w:t>
            </w:r>
          </w:p>
        </w:tc>
        <w:tc>
          <w:tcPr/>
          <w:p>
            <w:pPr>
              <w:pStyle w:val="Compact"/>
              <w:jc w:val="center"/>
            </w:pPr>
            <w:r>
              <w:t xml:space="preserve">3,913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125</w:t>
            </w:r>
          </w:p>
        </w:tc>
        <w:tc>
          <w:tcPr/>
          <w:p>
            <w:pPr>
              <w:pStyle w:val="Compact"/>
              <w:jc w:val="center"/>
            </w:pPr>
            <w:r>
              <w:t xml:space="preserve">144</w:t>
            </w:r>
          </w:p>
        </w:tc>
        <w:tc>
          <w:tcPr/>
          <w:p>
            <w:pPr>
              <w:pStyle w:val="Compact"/>
              <w:jc w:val="center"/>
            </w:pPr>
            <w:r>
              <w:t xml:space="preserve">212</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5,314</w:t>
            </w:r>
          </w:p>
        </w:tc>
        <w:tc>
          <w:tcPr/>
          <w:p>
            <w:pPr>
              <w:pStyle w:val="Compact"/>
              <w:jc w:val="center"/>
            </w:pPr>
            <w:r>
              <w:t xml:space="preserve">5,208</w:t>
            </w:r>
          </w:p>
        </w:tc>
        <w:tc>
          <w:tcPr/>
          <w:p>
            <w:pPr>
              <w:pStyle w:val="Compact"/>
              <w:jc w:val="center"/>
            </w:pPr>
            <w:r>
              <w:t xml:space="preserve">10,918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576</w:t>
            </w:r>
          </w:p>
        </w:tc>
        <w:tc>
          <w:tcPr/>
          <w:p>
            <w:pPr>
              <w:pStyle w:val="Compact"/>
              <w:jc w:val="center"/>
            </w:pPr>
            <w:r>
              <w:t xml:space="preserve">555</w:t>
            </w:r>
          </w:p>
        </w:tc>
        <w:tc>
          <w:tcPr/>
          <w:p>
            <w:pPr>
              <w:pStyle w:val="Compact"/>
              <w:jc w:val="center"/>
            </w:pPr>
            <w:r>
              <w:t xml:space="preserve">767</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9,003</w:t>
            </w:r>
          </w:p>
        </w:tc>
        <w:tc>
          <w:tcPr/>
          <w:p>
            <w:pPr>
              <w:pStyle w:val="Compact"/>
              <w:jc w:val="center"/>
            </w:pPr>
            <w:r>
              <w:t xml:space="preserve">10,181</w:t>
            </w:r>
          </w:p>
        </w:tc>
        <w:tc>
          <w:tcPr/>
          <w:p>
            <w:pPr>
              <w:pStyle w:val="Compact"/>
              <w:jc w:val="center"/>
            </w:pPr>
            <w:r>
              <w:t xml:space="preserve">20,456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322</w:t>
            </w:r>
          </w:p>
        </w:tc>
        <w:tc>
          <w:tcPr/>
          <w:p>
            <w:pPr>
              <w:pStyle w:val="Compact"/>
              <w:jc w:val="center"/>
            </w:pPr>
            <w:r>
              <w:t xml:space="preserve">326</w:t>
            </w:r>
          </w:p>
        </w:tc>
        <w:tc>
          <w:tcPr/>
          <w:p>
            <w:pPr>
              <w:pStyle w:val="Compact"/>
              <w:jc w:val="center"/>
            </w:pPr>
            <w:r>
              <w:t xml:space="preserve">420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1,630</w:t>
            </w:r>
          </w:p>
        </w:tc>
        <w:tc>
          <w:tcPr/>
          <w:p>
            <w:pPr>
              <w:pStyle w:val="Compact"/>
              <w:jc w:val="center"/>
            </w:pPr>
            <w:r>
              <w:t xml:space="preserve">1,656</w:t>
            </w:r>
          </w:p>
        </w:tc>
        <w:tc>
          <w:tcPr/>
          <w:p>
            <w:pPr>
              <w:pStyle w:val="Compact"/>
              <w:jc w:val="center"/>
            </w:pPr>
            <w:r>
              <w:t xml:space="preserve">3,378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341</w:t>
            </w:r>
          </w:p>
        </w:tc>
        <w:tc>
          <w:tcPr/>
          <w:p>
            <w:pPr>
              <w:pStyle w:val="Compact"/>
              <w:jc w:val="center"/>
            </w:pPr>
            <w:r>
              <w:t xml:space="preserve">338</w:t>
            </w:r>
          </w:p>
        </w:tc>
        <w:tc>
          <w:tcPr/>
          <w:p>
            <w:pPr>
              <w:pStyle w:val="Compact"/>
              <w:jc w:val="center"/>
            </w:pPr>
            <w:r>
              <w:t xml:space="preserve">520</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2,829</w:t>
            </w:r>
          </w:p>
        </w:tc>
        <w:tc>
          <w:tcPr/>
          <w:p>
            <w:pPr>
              <w:pStyle w:val="Compact"/>
              <w:jc w:val="center"/>
            </w:pPr>
            <w:r>
              <w:t xml:space="preserve">3,735</w:t>
            </w:r>
          </w:p>
        </w:tc>
        <w:tc>
          <w:tcPr/>
          <w:p>
            <w:pPr>
              <w:pStyle w:val="Compact"/>
              <w:jc w:val="center"/>
            </w:pPr>
            <w:r>
              <w:t xml:space="preserve">6,908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468</w:t>
            </w:r>
          </w:p>
        </w:tc>
        <w:tc>
          <w:tcPr/>
          <w:p>
            <w:pPr>
              <w:pStyle w:val="Compact"/>
              <w:jc w:val="center"/>
            </w:pPr>
            <w:r>
              <w:t xml:space="preserve">620</w:t>
            </w:r>
          </w:p>
        </w:tc>
        <w:tc>
          <w:tcPr/>
          <w:p>
            <w:pPr>
              <w:pStyle w:val="Compact"/>
              <w:jc w:val="center"/>
            </w:pPr>
            <w:r>
              <w:t xml:space="preserve">854</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13,701</w:t>
            </w:r>
          </w:p>
        </w:tc>
        <w:tc>
          <w:tcPr/>
          <w:p>
            <w:pPr>
              <w:pStyle w:val="Compact"/>
              <w:jc w:val="center"/>
            </w:pPr>
            <w:r>
              <w:t xml:space="preserve">11,402</w:t>
            </w:r>
          </w:p>
        </w:tc>
        <w:tc>
          <w:tcPr/>
          <w:p>
            <w:pPr>
              <w:pStyle w:val="Compact"/>
              <w:jc w:val="center"/>
            </w:pPr>
            <w:r>
              <w:t xml:space="preserve">28,242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467</w:t>
            </w:r>
          </w:p>
        </w:tc>
        <w:tc>
          <w:tcPr/>
          <w:p>
            <w:pPr>
              <w:pStyle w:val="Compact"/>
              <w:jc w:val="center"/>
            </w:pPr>
            <w:r>
              <w:t xml:space="preserve">365</w:t>
            </w:r>
          </w:p>
        </w:tc>
        <w:tc>
          <w:tcPr/>
          <w:p>
            <w:pPr>
              <w:pStyle w:val="Compact"/>
              <w:jc w:val="center"/>
            </w:pPr>
            <w:r>
              <w:t xml:space="preserve">434</w:t>
            </w:r>
          </w:p>
        </w:tc>
      </w:tr>
    </w:tbl>
    <w:p>
      <w:r>
        <w:br w:type="page"/>
      </w:r>
    </w:p>
    <w:p>
      <w:pPr>
        <w:pStyle w:val="TableCaption"/>
      </w:pPr>
      <w:r>
        <w:t xml:space="preserve">Table 7: Average age frequency samples (nominal) and average age composition input sample size (iss) from the Eastern Bering Sea shelf bottom trawl survey.</w:t>
      </w:r>
    </w:p>
    <w:tbl>
      <w:tblPr>
        <w:tblStyle w:val="Table"/>
        <w:tblW w:type="auto" w:w="0"/>
        <w:tblLook w:firstRow="1" w:lastRow="0" w:firstColumn="0" w:lastColumn="0" w:noHBand="0" w:noVBand="0" w:val="0020"/>
        <w:tblCaption w:val="Table 7: Average age frequency samples (nominal) and average age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246</w:t>
            </w:r>
          </w:p>
        </w:tc>
        <w:tc>
          <w:tcPr/>
          <w:p>
            <w:pPr>
              <w:pStyle w:val="Compact"/>
              <w:jc w:val="center"/>
            </w:pPr>
            <w:r>
              <w:t xml:space="preserve">161</w:t>
            </w:r>
          </w:p>
        </w:tc>
        <w:tc>
          <w:tcPr/>
          <w:p>
            <w:pPr>
              <w:pStyle w:val="Compact"/>
              <w:jc w:val="center"/>
            </w:pPr>
            <w:r>
              <w:t xml:space="preserve">407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117</w:t>
            </w:r>
          </w:p>
        </w:tc>
        <w:tc>
          <w:tcPr/>
          <w:p>
            <w:pPr>
              <w:pStyle w:val="Compact"/>
              <w:jc w:val="center"/>
            </w:pPr>
            <w:r>
              <w:t xml:space="preserve">61</w:t>
            </w:r>
          </w:p>
        </w:tc>
        <w:tc>
          <w:tcPr/>
          <w:p>
            <w:pPr>
              <w:pStyle w:val="Compact"/>
              <w:jc w:val="center"/>
            </w:pPr>
            <w:r>
              <w:t xml:space="preserve">152</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326</w:t>
            </w:r>
          </w:p>
        </w:tc>
        <w:tc>
          <w:tcPr/>
          <w:p>
            <w:pPr>
              <w:pStyle w:val="Compact"/>
              <w:jc w:val="center"/>
            </w:pPr>
            <w:r>
              <w:t xml:space="preserve">141</w:t>
            </w:r>
          </w:p>
        </w:tc>
        <w:tc>
          <w:tcPr/>
          <w:p>
            <w:pPr>
              <w:pStyle w:val="Compact"/>
              <w:jc w:val="center"/>
            </w:pPr>
            <w:r>
              <w:t xml:space="preserve">467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248</w:t>
            </w:r>
          </w:p>
        </w:tc>
        <w:tc>
          <w:tcPr/>
          <w:p>
            <w:pPr>
              <w:pStyle w:val="Compact"/>
              <w:jc w:val="center"/>
            </w:pPr>
            <w:r>
              <w:t xml:space="preserve">87</w:t>
            </w:r>
          </w:p>
        </w:tc>
        <w:tc>
          <w:tcPr/>
          <w:p>
            <w:pPr>
              <w:pStyle w:val="Compact"/>
              <w:jc w:val="center"/>
            </w:pPr>
            <w:r>
              <w:t xml:space="preserve">294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305</w:t>
            </w:r>
          </w:p>
        </w:tc>
        <w:tc>
          <w:tcPr/>
          <w:p>
            <w:pPr>
              <w:pStyle w:val="Compact"/>
              <w:jc w:val="center"/>
            </w:pPr>
            <w:r>
              <w:t xml:space="preserve">247</w:t>
            </w:r>
          </w:p>
        </w:tc>
        <w:tc>
          <w:tcPr/>
          <w:p>
            <w:pPr>
              <w:pStyle w:val="Compact"/>
              <w:jc w:val="center"/>
            </w:pPr>
            <w:r>
              <w:t xml:space="preserve">558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180</w:t>
            </w:r>
          </w:p>
        </w:tc>
        <w:tc>
          <w:tcPr/>
          <w:p>
            <w:pPr>
              <w:pStyle w:val="Compact"/>
              <w:jc w:val="center"/>
            </w:pPr>
            <w:r>
              <w:t xml:space="preserve">177</w:t>
            </w:r>
          </w:p>
        </w:tc>
        <w:tc>
          <w:tcPr/>
          <w:p>
            <w:pPr>
              <w:pStyle w:val="Compact"/>
              <w:jc w:val="center"/>
            </w:pPr>
            <w:r>
              <w:t xml:space="preserve">319</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147</w:t>
            </w:r>
          </w:p>
        </w:tc>
        <w:tc>
          <w:tcPr/>
          <w:p>
            <w:pPr>
              <w:pStyle w:val="Compact"/>
              <w:jc w:val="center"/>
            </w:pPr>
            <w:r>
              <w:t xml:space="preserve">134</w:t>
            </w:r>
          </w:p>
        </w:tc>
        <w:tc>
          <w:tcPr/>
          <w:p>
            <w:pPr>
              <w:pStyle w:val="Compact"/>
              <w:jc w:val="center"/>
            </w:pPr>
            <w:r>
              <w:t xml:space="preserve">293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35</w:t>
            </w:r>
          </w:p>
        </w:tc>
        <w:tc>
          <w:tcPr/>
          <w:p>
            <w:pPr>
              <w:pStyle w:val="Compact"/>
              <w:jc w:val="center"/>
            </w:pPr>
            <w:r>
              <w:t xml:space="preserve">19</w:t>
            </w:r>
          </w:p>
        </w:tc>
        <w:tc>
          <w:tcPr/>
          <w:p>
            <w:pPr>
              <w:pStyle w:val="Compact"/>
              <w:jc w:val="center"/>
            </w:pPr>
            <w:r>
              <w:t xml:space="preserve">55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259</w:t>
            </w:r>
          </w:p>
        </w:tc>
        <w:tc>
          <w:tcPr/>
          <w:p>
            <w:pPr>
              <w:pStyle w:val="Compact"/>
              <w:jc w:val="center"/>
            </w:pPr>
            <w:r>
              <w:t xml:space="preserve">218</w:t>
            </w:r>
          </w:p>
        </w:tc>
        <w:tc>
          <w:tcPr/>
          <w:p>
            <w:pPr>
              <w:pStyle w:val="Compact"/>
              <w:jc w:val="center"/>
            </w:pPr>
            <w:r>
              <w:t xml:space="preserve">477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113</w:t>
            </w:r>
          </w:p>
        </w:tc>
        <w:tc>
          <w:tcPr/>
          <w:p>
            <w:pPr>
              <w:pStyle w:val="Compact"/>
              <w:jc w:val="center"/>
            </w:pPr>
            <w:r>
              <w:t xml:space="preserve">87</w:t>
            </w:r>
          </w:p>
        </w:tc>
        <w:tc>
          <w:tcPr/>
          <w:p>
            <w:pPr>
              <w:pStyle w:val="Compact"/>
              <w:jc w:val="center"/>
            </w:pPr>
            <w:r>
              <w:t xml:space="preserve">183</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255</w:t>
            </w:r>
          </w:p>
        </w:tc>
        <w:tc>
          <w:tcPr/>
          <w:p>
            <w:pPr>
              <w:pStyle w:val="Compact"/>
              <w:jc w:val="center"/>
            </w:pPr>
            <w:r>
              <w:t xml:space="preserve">194</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104</w:t>
            </w:r>
          </w:p>
        </w:tc>
        <w:tc>
          <w:tcPr/>
          <w:p>
            <w:pPr>
              <w:pStyle w:val="Compact"/>
              <w:jc w:val="center"/>
            </w:pPr>
            <w:r>
              <w:t xml:space="preserve">213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535</w:t>
            </w:r>
          </w:p>
        </w:tc>
        <w:tc>
          <w:tcPr/>
          <w:p>
            <w:pPr>
              <w:pStyle w:val="Compact"/>
              <w:jc w:val="center"/>
            </w:pPr>
            <w:r>
              <w:t xml:space="preserve">515</w:t>
            </w:r>
          </w:p>
        </w:tc>
        <w:tc>
          <w:tcPr/>
          <w:p>
            <w:pPr>
              <w:pStyle w:val="Compact"/>
              <w:jc w:val="center"/>
            </w:pPr>
            <w:r>
              <w:t xml:space="preserve">1,062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265</w:t>
            </w:r>
          </w:p>
        </w:tc>
        <w:tc>
          <w:tcPr/>
          <w:p>
            <w:pPr>
              <w:pStyle w:val="Compact"/>
              <w:jc w:val="center"/>
            </w:pPr>
            <w:r>
              <w:t xml:space="preserve">272</w:t>
            </w:r>
          </w:p>
        </w:tc>
        <w:tc>
          <w:tcPr/>
          <w:p>
            <w:pPr>
              <w:pStyle w:val="Compact"/>
              <w:jc w:val="center"/>
            </w:pPr>
            <w:r>
              <w:t xml:space="preserve">349</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736</w:t>
            </w:r>
          </w:p>
        </w:tc>
        <w:tc>
          <w:tcPr/>
          <w:p>
            <w:pPr>
              <w:pStyle w:val="Compact"/>
              <w:jc w:val="center"/>
            </w:pPr>
            <w:r>
              <w:t xml:space="preserve">682</w:t>
            </w:r>
          </w:p>
        </w:tc>
        <w:tc>
          <w:tcPr/>
          <w:p>
            <w:pPr>
              <w:pStyle w:val="Compact"/>
              <w:jc w:val="center"/>
            </w:pPr>
            <w:r>
              <w:t xml:space="preserve">1,534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269</w:t>
            </w:r>
          </w:p>
        </w:tc>
        <w:tc>
          <w:tcPr/>
          <w:p>
            <w:pPr>
              <w:pStyle w:val="Compact"/>
              <w:jc w:val="center"/>
            </w:pPr>
            <w:r>
              <w:t xml:space="preserve">296</w:t>
            </w:r>
          </w:p>
        </w:tc>
        <w:tc>
          <w:tcPr/>
          <w:p>
            <w:pPr>
              <w:pStyle w:val="Compact"/>
              <w:jc w:val="center"/>
            </w:pPr>
            <w:r>
              <w:t xml:space="preserve">422</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425</w:t>
            </w:r>
          </w:p>
        </w:tc>
        <w:tc>
          <w:tcPr/>
          <w:p>
            <w:pPr>
              <w:pStyle w:val="Compact"/>
              <w:jc w:val="center"/>
            </w:pPr>
            <w:r>
              <w:t xml:space="preserve">321</w:t>
            </w:r>
          </w:p>
        </w:tc>
        <w:tc>
          <w:tcPr/>
          <w:p>
            <w:pPr>
              <w:pStyle w:val="Compact"/>
              <w:jc w:val="center"/>
            </w:pPr>
            <w:r>
              <w:t xml:space="preserve">747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178</w:t>
            </w:r>
          </w:p>
        </w:tc>
        <w:tc>
          <w:tcPr/>
          <w:p>
            <w:pPr>
              <w:pStyle w:val="Compact"/>
              <w:jc w:val="center"/>
            </w:pPr>
            <w:r>
              <w:t xml:space="preserve">139</w:t>
            </w:r>
          </w:p>
        </w:tc>
        <w:tc>
          <w:tcPr/>
          <w:p>
            <w:pPr>
              <w:pStyle w:val="Compact"/>
              <w:jc w:val="center"/>
            </w:pPr>
            <w:r>
              <w:t xml:space="preserve">290</w:t>
            </w:r>
          </w:p>
        </w:tc>
      </w:tr>
    </w:tbl>
    <w:p>
      <w:r>
        <w:br w:type="page"/>
      </w:r>
    </w:p>
    <w:p>
      <w:pPr>
        <w:pStyle w:val="TableCaption"/>
      </w:pPr>
      <w:r>
        <w:t xml:space="preserve">Table 8: Average age frequency samples (nominal) and average age composition input sample size (iss) from the Eastern Bering Sea slope bottom trawl survey.</w:t>
      </w:r>
    </w:p>
    <w:tbl>
      <w:tblPr>
        <w:tblStyle w:val="Table"/>
        <w:tblW w:type="auto" w:w="0"/>
        <w:tblLook w:firstRow="1" w:lastRow="0" w:firstColumn="0" w:lastColumn="0" w:noHBand="0" w:noVBand="0" w:val="0020"/>
        <w:tblCaption w:val="Table 8: Average age frequency samples (nominal) and average age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391</w:t>
            </w:r>
          </w:p>
        </w:tc>
        <w:tc>
          <w:tcPr/>
          <w:p>
            <w:pPr>
              <w:pStyle w:val="Compact"/>
              <w:jc w:val="center"/>
            </w:pPr>
            <w:r>
              <w:t xml:space="preserve">148</w:t>
            </w:r>
          </w:p>
        </w:tc>
        <w:tc>
          <w:tcPr/>
          <w:p>
            <w:pPr>
              <w:pStyle w:val="Compact"/>
              <w:jc w:val="center"/>
            </w:pPr>
            <w:r>
              <w:t xml:space="preserve">539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239</w:t>
            </w:r>
          </w:p>
        </w:tc>
        <w:tc>
          <w:tcPr/>
          <w:p>
            <w:pPr>
              <w:pStyle w:val="Compact"/>
              <w:jc w:val="center"/>
            </w:pPr>
            <w:r>
              <w:t xml:space="preserve">254</w:t>
            </w:r>
          </w:p>
        </w:tc>
        <w:tc>
          <w:tcPr/>
          <w:p>
            <w:pPr>
              <w:pStyle w:val="Compact"/>
              <w:jc w:val="center"/>
            </w:pPr>
            <w:r>
              <w:t xml:space="preserve">493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62</w:t>
            </w:r>
          </w:p>
        </w:tc>
        <w:tc>
          <w:tcPr/>
          <w:p>
            <w:pPr>
              <w:pStyle w:val="Compact"/>
              <w:jc w:val="center"/>
            </w:pPr>
            <w:r>
              <w:t xml:space="preserve">78</w:t>
            </w:r>
          </w:p>
        </w:tc>
        <w:tc>
          <w:tcPr/>
          <w:p>
            <w:pPr>
              <w:pStyle w:val="Compact"/>
              <w:jc w:val="center"/>
            </w:pPr>
            <w:r>
              <w:t xml:space="preserve">114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365</w:t>
            </w:r>
          </w:p>
        </w:tc>
        <w:tc>
          <w:tcPr/>
          <w:p>
            <w:pPr>
              <w:pStyle w:val="Compact"/>
              <w:jc w:val="center"/>
            </w:pPr>
            <w:r>
              <w:t xml:space="preserve">296</w:t>
            </w:r>
          </w:p>
        </w:tc>
        <w:tc>
          <w:tcPr/>
          <w:p>
            <w:pPr>
              <w:pStyle w:val="Compact"/>
              <w:jc w:val="center"/>
            </w:pPr>
            <w:r>
              <w:t xml:space="preserve">661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114</w:t>
            </w:r>
          </w:p>
        </w:tc>
        <w:tc>
          <w:tcPr/>
          <w:p>
            <w:pPr>
              <w:pStyle w:val="Compact"/>
              <w:jc w:val="center"/>
            </w:pPr>
            <w:r>
              <w:t xml:space="preserve">223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192</w:t>
            </w:r>
          </w:p>
        </w:tc>
        <w:tc>
          <w:tcPr/>
          <w:p>
            <w:pPr>
              <w:pStyle w:val="Compact"/>
              <w:jc w:val="center"/>
            </w:pPr>
            <w:r>
              <w:t xml:space="preserve">404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51</w:t>
            </w:r>
          </w:p>
        </w:tc>
        <w:tc>
          <w:tcPr/>
          <w:p>
            <w:pPr>
              <w:pStyle w:val="Compact"/>
              <w:jc w:val="center"/>
            </w:pPr>
            <w:r>
              <w:t xml:space="preserve">53</w:t>
            </w:r>
          </w:p>
        </w:tc>
        <w:tc>
          <w:tcPr/>
          <w:p>
            <w:pPr>
              <w:pStyle w:val="Compact"/>
              <w:jc w:val="center"/>
            </w:pPr>
            <w:r>
              <w:t xml:space="preserve">93</w:t>
            </w:r>
          </w:p>
        </w:tc>
      </w:tr>
    </w:tbl>
    <w:p>
      <w:r>
        <w:br w:type="page"/>
      </w:r>
    </w:p>
    <w:p>
      <w:pPr>
        <w:pStyle w:val="TableCaption"/>
      </w:pPr>
      <w:r>
        <w:t xml:space="preserve">Table 9: Average age frequency samples (nominal) and average age composition input sample size (iss) from the Aleutian Islands bottom trawl surveys.</w:t>
      </w:r>
    </w:p>
    <w:tbl>
      <w:tblPr>
        <w:tblStyle w:val="Table"/>
        <w:tblW w:type="auto" w:w="0"/>
        <w:tblLook w:firstRow="1" w:lastRow="0" w:firstColumn="0" w:lastColumn="0" w:noHBand="0" w:noVBand="0" w:val="0020"/>
        <w:tblCaption w:val="Table 9: Average age frequency samples (nominal) and average age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285</w:t>
            </w:r>
          </w:p>
        </w:tc>
        <w:tc>
          <w:tcPr/>
          <w:p>
            <w:pPr>
              <w:pStyle w:val="Compact"/>
              <w:jc w:val="center"/>
            </w:pPr>
            <w:r>
              <w:t xml:space="preserve">239</w:t>
            </w:r>
          </w:p>
        </w:tc>
        <w:tc>
          <w:tcPr/>
          <w:p>
            <w:pPr>
              <w:pStyle w:val="Compact"/>
              <w:jc w:val="center"/>
            </w:pPr>
            <w:r>
              <w:t xml:space="preserve">524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109</w:t>
            </w:r>
          </w:p>
        </w:tc>
        <w:tc>
          <w:tcPr/>
          <w:p>
            <w:pPr>
              <w:pStyle w:val="Compact"/>
              <w:jc w:val="center"/>
            </w:pPr>
            <w:r>
              <w:t xml:space="preserve">56</w:t>
            </w:r>
          </w:p>
        </w:tc>
        <w:tc>
          <w:tcPr/>
          <w:p>
            <w:pPr>
              <w:pStyle w:val="Compact"/>
              <w:jc w:val="center"/>
            </w:pPr>
            <w:r>
              <w:t xml:space="preserve">132</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322</w:t>
            </w:r>
          </w:p>
        </w:tc>
        <w:tc>
          <w:tcPr/>
          <w:p>
            <w:pPr>
              <w:pStyle w:val="Compact"/>
              <w:jc w:val="center"/>
            </w:pPr>
            <w:r>
              <w:t xml:space="preserve">288</w:t>
            </w:r>
          </w:p>
        </w:tc>
        <w:tc>
          <w:tcPr/>
          <w:p>
            <w:pPr>
              <w:pStyle w:val="Compact"/>
              <w:jc w:val="center"/>
            </w:pPr>
            <w:r>
              <w:t xml:space="preserve">609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50</w:t>
            </w:r>
          </w:p>
        </w:tc>
        <w:tc>
          <w:tcPr/>
          <w:p>
            <w:pPr>
              <w:pStyle w:val="Compact"/>
              <w:jc w:val="center"/>
            </w:pPr>
            <w:r>
              <w:t xml:space="preserve">46</w:t>
            </w:r>
          </w:p>
        </w:tc>
        <w:tc>
          <w:tcPr/>
          <w:p>
            <w:pPr>
              <w:pStyle w:val="Compact"/>
              <w:jc w:val="center"/>
            </w:pPr>
            <w:r>
              <w:t xml:space="preserve">70</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257</w:t>
            </w:r>
          </w:p>
        </w:tc>
        <w:tc>
          <w:tcPr/>
          <w:p>
            <w:pPr>
              <w:pStyle w:val="Compact"/>
              <w:jc w:val="center"/>
            </w:pPr>
            <w:r>
              <w:t xml:space="preserve">250</w:t>
            </w:r>
          </w:p>
        </w:tc>
        <w:tc>
          <w:tcPr/>
          <w:p>
            <w:pPr>
              <w:pStyle w:val="Compact"/>
              <w:jc w:val="center"/>
            </w:pPr>
            <w:r>
              <w:t xml:space="preserve">509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60</w:t>
            </w:r>
          </w:p>
        </w:tc>
        <w:tc>
          <w:tcPr/>
          <w:p>
            <w:pPr>
              <w:pStyle w:val="Compact"/>
              <w:jc w:val="center"/>
            </w:pPr>
            <w:r>
              <w:t xml:space="preserve">95</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295</w:t>
            </w:r>
          </w:p>
        </w:tc>
        <w:tc>
          <w:tcPr/>
          <w:p>
            <w:pPr>
              <w:pStyle w:val="Compact"/>
              <w:jc w:val="center"/>
            </w:pPr>
            <w:r>
              <w:t xml:space="preserve">239</w:t>
            </w:r>
          </w:p>
        </w:tc>
        <w:tc>
          <w:tcPr/>
          <w:p>
            <w:pPr>
              <w:pStyle w:val="Compact"/>
              <w:jc w:val="center"/>
            </w:pPr>
            <w:r>
              <w:t xml:space="preserve">536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57</w:t>
            </w:r>
          </w:p>
        </w:tc>
        <w:tc>
          <w:tcPr/>
          <w:p>
            <w:pPr>
              <w:pStyle w:val="Compact"/>
              <w:jc w:val="center"/>
            </w:pPr>
            <w:r>
              <w:t xml:space="preserve">119</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394</w:t>
            </w:r>
          </w:p>
        </w:tc>
        <w:tc>
          <w:tcPr/>
          <w:p>
            <w:pPr>
              <w:pStyle w:val="Compact"/>
              <w:jc w:val="center"/>
            </w:pPr>
            <w:r>
              <w:t xml:space="preserve">394</w:t>
            </w:r>
          </w:p>
        </w:tc>
        <w:tc>
          <w:tcPr/>
          <w:p>
            <w:pPr>
              <w:pStyle w:val="Compact"/>
              <w:jc w:val="center"/>
            </w:pPr>
            <w:r>
              <w:t xml:space="preserve">788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80</w:t>
            </w:r>
          </w:p>
        </w:tc>
        <w:tc>
          <w:tcPr/>
          <w:p>
            <w:pPr>
              <w:pStyle w:val="Compact"/>
              <w:jc w:val="center"/>
            </w:pPr>
            <w:r>
              <w:t xml:space="preserve">81</w:t>
            </w:r>
          </w:p>
        </w:tc>
        <w:tc>
          <w:tcPr/>
          <w:p>
            <w:pPr>
              <w:pStyle w:val="Compact"/>
              <w:jc w:val="center"/>
            </w:pPr>
            <w:r>
              <w:t xml:space="preserve">113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548</w:t>
            </w:r>
          </w:p>
        </w:tc>
        <w:tc>
          <w:tcPr/>
          <w:p>
            <w:pPr>
              <w:pStyle w:val="Compact"/>
              <w:jc w:val="center"/>
            </w:pPr>
            <w:r>
              <w:t xml:space="preserve">545</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117</w:t>
            </w:r>
          </w:p>
        </w:tc>
        <w:tc>
          <w:tcPr/>
          <w:p>
            <w:pPr>
              <w:pStyle w:val="Compact"/>
              <w:jc w:val="center"/>
            </w:pPr>
            <w:r>
              <w:t xml:space="preserve">204</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226</w:t>
            </w:r>
          </w:p>
        </w:tc>
        <w:tc>
          <w:tcPr/>
          <w:p>
            <w:pPr>
              <w:pStyle w:val="Compact"/>
              <w:jc w:val="center"/>
            </w:pPr>
            <w:r>
              <w:t xml:space="preserve">229</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63</w:t>
            </w:r>
          </w:p>
        </w:tc>
        <w:tc>
          <w:tcPr/>
          <w:p>
            <w:pPr>
              <w:pStyle w:val="Compact"/>
              <w:jc w:val="center"/>
            </w:pPr>
            <w:r>
              <w:t xml:space="preserve">62</w:t>
            </w:r>
          </w:p>
        </w:tc>
        <w:tc>
          <w:tcPr/>
          <w:p>
            <w:pPr>
              <w:pStyle w:val="Compact"/>
              <w:jc w:val="center"/>
            </w:pPr>
            <w:r>
              <w:t xml:space="preserve">120</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848</w:t>
            </w:r>
          </w:p>
        </w:tc>
        <w:tc>
          <w:tcPr/>
          <w:p>
            <w:pPr>
              <w:pStyle w:val="Compact"/>
              <w:jc w:val="center"/>
            </w:pPr>
            <w:r>
              <w:t xml:space="preserve">698</w:t>
            </w:r>
          </w:p>
        </w:tc>
        <w:tc>
          <w:tcPr/>
          <w:p>
            <w:pPr>
              <w:pStyle w:val="Compact"/>
              <w:jc w:val="center"/>
            </w:pPr>
            <w:r>
              <w:t xml:space="preserve">1,549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71</w:t>
            </w:r>
          </w:p>
        </w:tc>
        <w:tc>
          <w:tcPr/>
          <w:p>
            <w:pPr>
              <w:pStyle w:val="Compact"/>
              <w:jc w:val="center"/>
            </w:pPr>
            <w:r>
              <w:t xml:space="preserve">56</w:t>
            </w:r>
          </w:p>
        </w:tc>
        <w:tc>
          <w:tcPr/>
          <w:p>
            <w:pPr>
              <w:pStyle w:val="Compact"/>
              <w:jc w:val="center"/>
            </w:pPr>
            <w:r>
              <w:t xml:space="preserve">84</w:t>
            </w:r>
          </w:p>
        </w:tc>
      </w:tr>
    </w:tbl>
    <w:p>
      <w:r>
        <w:br w:type="page"/>
      </w:r>
    </w:p>
    <w:p>
      <w:pPr>
        <w:pStyle w:val="TableCaption"/>
      </w:pPr>
      <w:r>
        <w:t xml:space="preserve">Table 10: Average age frequency samples (nominal) and average age composition input sample size (iss) from the Gulf of Alaska bottom trawl surveys.</w:t>
      </w:r>
    </w:p>
    <w:tbl>
      <w:tblPr>
        <w:tblStyle w:val="Table"/>
        <w:tblW w:type="auto" w:w="0"/>
        <w:tblLook w:firstRow="1" w:lastRow="0" w:firstColumn="0" w:lastColumn="0" w:noHBand="0" w:noVBand="0" w:val="0020"/>
        <w:tblCaption w:val="Table 10: Average age frequency samples (nominal) and average age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560</w:t>
            </w:r>
          </w:p>
        </w:tc>
        <w:tc>
          <w:tcPr/>
          <w:p>
            <w:pPr>
              <w:pStyle w:val="Compact"/>
              <w:jc w:val="center"/>
            </w:pPr>
            <w:r>
              <w:t xml:space="preserve">359</w:t>
            </w:r>
          </w:p>
        </w:tc>
        <w:tc>
          <w:tcPr/>
          <w:p>
            <w:pPr>
              <w:pStyle w:val="Compact"/>
              <w:jc w:val="center"/>
            </w:pPr>
            <w:r>
              <w:t xml:space="preserve">920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230</w:t>
            </w:r>
          </w:p>
        </w:tc>
        <w:tc>
          <w:tcPr/>
          <w:p>
            <w:pPr>
              <w:pStyle w:val="Compact"/>
              <w:jc w:val="center"/>
            </w:pPr>
            <w:r>
              <w:t xml:space="preserve">151</w:t>
            </w:r>
          </w:p>
        </w:tc>
        <w:tc>
          <w:tcPr/>
          <w:p>
            <w:pPr>
              <w:pStyle w:val="Compact"/>
              <w:jc w:val="center"/>
            </w:pPr>
            <w:r>
              <w:t xml:space="preserve">337</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187</w:t>
            </w:r>
          </w:p>
        </w:tc>
        <w:tc>
          <w:tcPr/>
          <w:p>
            <w:pPr>
              <w:pStyle w:val="Compact"/>
              <w:jc w:val="center"/>
            </w:pPr>
            <w:r>
              <w:t xml:space="preserve">394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85</w:t>
            </w:r>
          </w:p>
        </w:tc>
        <w:tc>
          <w:tcPr/>
          <w:p>
            <w:pPr>
              <w:pStyle w:val="Compact"/>
              <w:jc w:val="center"/>
            </w:pPr>
            <w:r>
              <w:t xml:space="preserve">71</w:t>
            </w:r>
          </w:p>
        </w:tc>
        <w:tc>
          <w:tcPr/>
          <w:p>
            <w:pPr>
              <w:pStyle w:val="Compact"/>
              <w:jc w:val="center"/>
            </w:pPr>
            <w:r>
              <w:t xml:space="preserve">145</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228</w:t>
            </w:r>
          </w:p>
        </w:tc>
        <w:tc>
          <w:tcPr/>
          <w:p>
            <w:pPr>
              <w:pStyle w:val="Compact"/>
              <w:jc w:val="center"/>
            </w:pPr>
            <w:r>
              <w:t xml:space="preserve">199</w:t>
            </w:r>
          </w:p>
        </w:tc>
        <w:tc>
          <w:tcPr/>
          <w:p>
            <w:pPr>
              <w:pStyle w:val="Compact"/>
              <w:jc w:val="center"/>
            </w:pPr>
            <w:r>
              <w:t xml:space="preserve">428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58</w:t>
            </w:r>
          </w:p>
        </w:tc>
        <w:tc>
          <w:tcPr/>
          <w:p>
            <w:pPr>
              <w:pStyle w:val="Compact"/>
              <w:jc w:val="center"/>
            </w:pPr>
            <w:r>
              <w:t xml:space="preserve">48</w:t>
            </w:r>
          </w:p>
        </w:tc>
        <w:tc>
          <w:tcPr/>
          <w:p>
            <w:pPr>
              <w:pStyle w:val="Compact"/>
              <w:jc w:val="center"/>
            </w:pPr>
            <w:r>
              <w:t xml:space="preserve">90</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293</w:t>
            </w:r>
          </w:p>
        </w:tc>
        <w:tc>
          <w:tcPr/>
          <w:p>
            <w:pPr>
              <w:pStyle w:val="Compact"/>
              <w:jc w:val="center"/>
            </w:pPr>
            <w:r>
              <w:t xml:space="preserve">244</w:t>
            </w:r>
          </w:p>
        </w:tc>
        <w:tc>
          <w:tcPr/>
          <w:p>
            <w:pPr>
              <w:pStyle w:val="Compact"/>
              <w:jc w:val="center"/>
            </w:pPr>
            <w:r>
              <w:t xml:space="preserve">542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111</w:t>
            </w:r>
          </w:p>
        </w:tc>
        <w:tc>
          <w:tcPr/>
          <w:p>
            <w:pPr>
              <w:pStyle w:val="Compact"/>
              <w:jc w:val="center"/>
            </w:pPr>
            <w:r>
              <w:t xml:space="preserve">86</w:t>
            </w:r>
          </w:p>
        </w:tc>
        <w:tc>
          <w:tcPr/>
          <w:p>
            <w:pPr>
              <w:pStyle w:val="Compact"/>
              <w:jc w:val="center"/>
            </w:pPr>
            <w:r>
              <w:t xml:space="preserve">180</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237</w:t>
            </w:r>
          </w:p>
        </w:tc>
        <w:tc>
          <w:tcPr/>
          <w:p>
            <w:pPr>
              <w:pStyle w:val="Compact"/>
              <w:jc w:val="center"/>
            </w:pPr>
            <w:r>
              <w:t xml:space="preserve">208</w:t>
            </w:r>
          </w:p>
        </w:tc>
        <w:tc>
          <w:tcPr/>
          <w:p>
            <w:pPr>
              <w:pStyle w:val="Compact"/>
              <w:jc w:val="center"/>
            </w:pPr>
            <w:r>
              <w:t xml:space="preserve">445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w:t>
            </w:r>
          </w:p>
        </w:tc>
        <w:tc>
          <w:tcPr/>
          <w:p>
            <w:pPr>
              <w:pStyle w:val="Compact"/>
              <w:jc w:val="center"/>
            </w:pPr>
            <w:r>
              <w:t xml:space="preserve">60</w:t>
            </w:r>
          </w:p>
        </w:tc>
        <w:tc>
          <w:tcPr/>
          <w:p>
            <w:pPr>
              <w:pStyle w:val="Compact"/>
              <w:jc w:val="center"/>
            </w:pPr>
            <w:r>
              <w:t xml:space="preserve">116</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324</w:t>
            </w:r>
          </w:p>
        </w:tc>
        <w:tc>
          <w:tcPr/>
          <w:p>
            <w:pPr>
              <w:pStyle w:val="Compact"/>
              <w:jc w:val="center"/>
            </w:pPr>
            <w:r>
              <w:t xml:space="preserve">295</w:t>
            </w:r>
          </w:p>
        </w:tc>
        <w:tc>
          <w:tcPr/>
          <w:p>
            <w:pPr>
              <w:pStyle w:val="Compact"/>
              <w:jc w:val="center"/>
            </w:pPr>
            <w:r>
              <w:t xml:space="preserve">619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70</w:t>
            </w:r>
          </w:p>
        </w:tc>
        <w:tc>
          <w:tcPr/>
          <w:p>
            <w:pPr>
              <w:pStyle w:val="Compact"/>
              <w:jc w:val="center"/>
            </w:pPr>
            <w:r>
              <w:t xml:space="preserve">96</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547</w:t>
            </w:r>
          </w:p>
        </w:tc>
        <w:tc>
          <w:tcPr/>
          <w:p>
            <w:pPr>
              <w:pStyle w:val="Compact"/>
              <w:jc w:val="center"/>
            </w:pPr>
            <w:r>
              <w:t xml:space="preserve">550</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132</w:t>
            </w:r>
          </w:p>
        </w:tc>
        <w:tc>
          <w:tcPr/>
          <w:p>
            <w:pPr>
              <w:pStyle w:val="Compact"/>
              <w:jc w:val="center"/>
            </w:pPr>
            <w:r>
              <w:t xml:space="preserve">133</w:t>
            </w:r>
          </w:p>
        </w:tc>
        <w:tc>
          <w:tcPr/>
          <w:p>
            <w:pPr>
              <w:pStyle w:val="Compact"/>
              <w:jc w:val="center"/>
            </w:pPr>
            <w:r>
              <w:t xml:space="preserve">205</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276</w:t>
            </w:r>
          </w:p>
        </w:tc>
        <w:tc>
          <w:tcPr/>
          <w:p>
            <w:pPr>
              <w:pStyle w:val="Compact"/>
              <w:jc w:val="center"/>
            </w:pPr>
            <w:r>
              <w:t xml:space="preserve">283</w:t>
            </w:r>
          </w:p>
        </w:tc>
        <w:tc>
          <w:tcPr/>
          <w:p>
            <w:pPr>
              <w:pStyle w:val="Compact"/>
              <w:jc w:val="center"/>
            </w:pPr>
            <w:r>
              <w:t xml:space="preserve">561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86</w:t>
            </w:r>
          </w:p>
        </w:tc>
        <w:tc>
          <w:tcPr/>
          <w:p>
            <w:pPr>
              <w:pStyle w:val="Compact"/>
              <w:jc w:val="center"/>
            </w:pPr>
            <w:r>
              <w:t xml:space="preserve">85</w:t>
            </w:r>
          </w:p>
        </w:tc>
        <w:tc>
          <w:tcPr/>
          <w:p>
            <w:pPr>
              <w:pStyle w:val="Compact"/>
              <w:jc w:val="center"/>
            </w:pPr>
            <w:r>
              <w:t xml:space="preserve">152</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274</w:t>
            </w:r>
          </w:p>
        </w:tc>
        <w:tc>
          <w:tcPr/>
          <w:p>
            <w:pPr>
              <w:pStyle w:val="Compact"/>
              <w:jc w:val="center"/>
            </w:pPr>
            <w:r>
              <w:t xml:space="preserve">270</w:t>
            </w:r>
          </w:p>
        </w:tc>
        <w:tc>
          <w:tcPr/>
          <w:p>
            <w:pPr>
              <w:pStyle w:val="Compact"/>
              <w:jc w:val="center"/>
            </w:pPr>
            <w:r>
              <w:t xml:space="preserve">544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52</w:t>
            </w:r>
          </w:p>
        </w:tc>
        <w:tc>
          <w:tcPr/>
          <w:p>
            <w:pPr>
              <w:pStyle w:val="Compact"/>
              <w:jc w:val="center"/>
            </w:pPr>
            <w:r>
              <w:t xml:space="preserve">55</w:t>
            </w:r>
          </w:p>
        </w:tc>
        <w:tc>
          <w:tcPr/>
          <w:p>
            <w:pPr>
              <w:pStyle w:val="Compact"/>
              <w:jc w:val="center"/>
            </w:pPr>
            <w:r>
              <w:t xml:space="preserve">77</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710</w:t>
            </w:r>
          </w:p>
        </w:tc>
        <w:tc>
          <w:tcPr/>
          <w:p>
            <w:pPr>
              <w:pStyle w:val="Compact"/>
              <w:jc w:val="center"/>
            </w:pPr>
            <w:r>
              <w:t xml:space="preserve">604</w:t>
            </w:r>
          </w:p>
        </w:tc>
        <w:tc>
          <w:tcPr/>
          <w:p>
            <w:pPr>
              <w:pStyle w:val="Compact"/>
              <w:jc w:val="center"/>
            </w:pPr>
            <w:r>
              <w:t xml:space="preserve">1,327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110</w:t>
            </w:r>
          </w:p>
        </w:tc>
        <w:tc>
          <w:tcPr/>
          <w:p>
            <w:pPr>
              <w:pStyle w:val="Compact"/>
              <w:jc w:val="center"/>
            </w:pPr>
            <w:r>
              <w:t xml:space="preserve">88</w:t>
            </w:r>
          </w:p>
        </w:tc>
        <w:tc>
          <w:tcPr/>
          <w:p>
            <w:pPr>
              <w:pStyle w:val="Compact"/>
              <w:jc w:val="center"/>
            </w:pPr>
            <w:r>
              <w:t xml:space="preserve">99</w:t>
            </w:r>
          </w:p>
        </w:tc>
      </w:tr>
    </w:tbl>
    <w:p>
      <w:r>
        <w:br w:type="page"/>
      </w:r>
    </w:p>
    <w:bookmarkEnd w:id="63"/>
    <w:bookmarkStart w:id="79" w:name="figures"/>
    <w:p>
      <w:pPr>
        <w:pStyle w:val="Heading1"/>
      </w:pPr>
      <w:r>
        <w:t xml:space="preserve">FIGURES</w:t>
      </w:r>
    </w:p>
    <w:p>
      <w:pPr>
        <w:pStyle w:val="CaptionedFigure"/>
      </w:pPr>
      <w:r>
        <w:drawing>
          <wp:inline>
            <wp:extent cx="5006340" cy="4636008"/>
            <wp:effectExtent b="0" l="0" r="0" t="0"/>
            <wp:docPr descr="Figure 1: Bootstrap flow chart, the steps refer to the order of operations as described in the Bootstrap framework for estimating age and length composition input sample size section." title="" id="65" name="Picture"/>
            <a:graphic>
              <a:graphicData uri="http://schemas.openxmlformats.org/drawingml/2006/picture">
                <pic:pic>
                  <pic:nvPicPr>
                    <pic:cNvPr descr="../figs/age_flowchart.png" id="66" name="Picture"/>
                    <pic:cNvPicPr>
                      <a:picLocks noChangeArrowheads="1" noChangeAspect="1"/>
                    </pic:cNvPicPr>
                  </pic:nvPicPr>
                  <pic:blipFill>
                    <a:blip r:embed="rId64"/>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Figure 1: Bootstrap flow chart, the steps refer to the order of operations as described in the</w:t>
      </w:r>
      <w:r>
        <w:t xml:space="preserve"> </w:t>
      </w:r>
      <w:r>
        <w:rPr>
          <w:iCs/>
          <w:i/>
        </w:rPr>
        <w:t xml:space="preserve">Bootstrap framework for estimating age and length composition input sample size</w:t>
      </w:r>
      <w:r>
        <w:t xml:space="preserve"> </w:t>
      </w:r>
      <w:r>
        <w:t xml:space="preserve">section.</w:t>
      </w:r>
    </w:p>
    <w:p>
      <w:pPr>
        <w:pStyle w:val="CaptionedFigure"/>
      </w:pPr>
      <w:r>
        <w:drawing>
          <wp:inline>
            <wp:extent cx="5943600" cy="5943600"/>
            <wp:effectExtent b="0" l="0" r="0" t="0"/>
            <wp:docPr descr="Figure 2: Number of fish lengthed and length composition input sample size per sampled haul by species group and survey (1-1 line shown in black for reference, trendlines shown by sex and for total)." title="" id="68" name="Picture"/>
            <a:graphic>
              <a:graphicData uri="http://schemas.openxmlformats.org/drawingml/2006/picture">
                <pic:pic>
                  <pic:nvPicPr>
                    <pic:cNvPr descr="../figs/length_per_sampled_haul.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Number of fish lengthed and length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3: Number of sampled hauls compared to length compostion input sample size by species group and survey (1-1 line shown in black for reference, trendlines shown by sex and for total)." title="" id="71" name="Picture"/>
            <a:graphic>
              <a:graphicData uri="http://schemas.openxmlformats.org/drawingml/2006/picture">
                <pic:pic>
                  <pic:nvPicPr>
                    <pic:cNvPr descr="../figs/length_iss_vs_hauls.png" id="72"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Number of sampled hauls compared to length compostion input sample size by species group and survey (1-1 line shown in black for reference, trendlines shown by sex and for total).</w:t>
      </w:r>
    </w:p>
    <w:p>
      <w:pPr>
        <w:pStyle w:val="CaptionedFigure"/>
      </w:pPr>
      <w:r>
        <w:drawing>
          <wp:inline>
            <wp:extent cx="5943600" cy="5943600"/>
            <wp:effectExtent b="0" l="0" r="0" t="0"/>
            <wp:docPr descr="Figure 4: Number of fish aged and age composition input sample size per sampled haul by species group and survey (1-1 line shown in black for reference, trendlines shown by sex and for total)." title="" id="74" name="Picture"/>
            <a:graphic>
              <a:graphicData uri="http://schemas.openxmlformats.org/drawingml/2006/picture">
                <pic:pic>
                  <pic:nvPicPr>
                    <pic:cNvPr descr="../figs/age_per_sampled_haul.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Number of fish aged and age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5: Number of sampled hauls compared to age compostion input sample size by species group and survey (1-1 line shown in black for reference, trendlines shown by sex and for total)." title="" id="77" name="Picture"/>
            <a:graphic>
              <a:graphicData uri="http://schemas.openxmlformats.org/drawingml/2006/picture">
                <pic:pic>
                  <pic:nvPicPr>
                    <pic:cNvPr descr="../figs/age_iss_vs_hauls.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Number of sampled hauls compared to age compostion input sample size by species group and survey (1-1 line shown in black for reference, trendlines shown by sex and for total).</w:t>
      </w:r>
    </w:p>
    <w:bookmarkEnd w:id="79"/>
    <w:sectPr w:rsidR="009603D3" w:rsidSect="00C962FF">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BD6C2D"/>
    <w:pPr>
      <w:outlineLvl w:val="0"/>
    </w:pPr>
    <w:rPr>
      <w:b/>
      <w:sz w:val="24"/>
      <w:szCs w:val="24"/>
    </w:rPr>
  </w:style>
  <w:style w:styleId="Heading2" w:type="paragraph">
    <w:name w:val="heading 2"/>
    <w:basedOn w:val="Heading1"/>
    <w:next w:val="BodyText"/>
    <w:uiPriority w:val="9"/>
    <w:unhideWhenUsed/>
    <w:qFormat/>
    <w:rsid w:val="000233FF"/>
    <w:pPr>
      <w:outlineLvl w:val="1"/>
    </w:pPr>
    <w:rPr>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BD6C2D"/>
    <w:pPr>
      <w:keepNext/>
      <w:keepLines/>
      <w:spacing w:before="0" w:line="480" w:lineRule="auto"/>
      <w:jc w:val="center"/>
    </w:pPr>
    <w:rPr>
      <w:rFonts w:cstheme="majorBidi" w:eastAsia="Calibri"/>
      <w:bCs w:val="0"/>
      <w:sz w:val="28"/>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BD6C2D"/>
    <w:rPr>
      <w:rFonts w:ascii="Times New Roman" w:cstheme="majorBidi" w:eastAsia="Calibri" w:hAnsi="Times New Roman"/>
      <w:sz w:val="28"/>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C9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hyperlink" Id="rId26" Target="https://github.com/BenWilliams-NOAA/swo" TargetMode="External" /><Relationship Type="http://schemas.openxmlformats.org/officeDocument/2006/relationships/hyperlink" Id="rId48"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BenWilliams-NOAA/swo" TargetMode="External" /><Relationship Type="http://schemas.openxmlformats.org/officeDocument/2006/relationships/hyperlink" Id="rId48"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dcterms:created xsi:type="dcterms:W3CDTF">2023-02-24T18:56:46Z</dcterms:created>
  <dcterms:modified xsi:type="dcterms:W3CDTF">2023-02-24T18:56:46Z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