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PROPOSAL PENAWARAN PENGEMBANGAN</w:t>
        <w:br/>
        <w:t>SISTEM INFORMASI ALUR ADMINISTRASI SKRIPSI (SIA-SKRIPSI)</w:t>
        <w:br/>
      </w:r>
      <w:r>
        <w:rPr>
          <w:b/>
          <w:color w:val="1E3A8A"/>
          <w:sz w:val="26"/>
        </w:rPr>
        <w:t>FAKULTAS PERTANIAN, SAINS DAN TEKNOLOGI (FPST)</w:t>
        <w:br/>
      </w:r>
      <w:r>
        <w:rPr>
          <w:color w:val="64748B"/>
          <w:sz w:val="22"/>
        </w:rPr>
        <w:t>Program Studi Agroteknologi &amp; Agribisnis</w:t>
        <w:br/>
      </w:r>
    </w:p>
    <w:p>
      <w:pPr>
        <w:spacing w:after="280"/>
        <w:jc w:val="center"/>
      </w:pPr>
      <w:r>
        <w:rPr>
          <w:color w:val="CBD5E1"/>
        </w:rPr>
        <w:t>―――――――――――――――――――――――――――――――――――――――――――――</w:t>
      </w:r>
    </w:p>
    <w:tbl>
      <w:tblPr>
        <w:tblW w:type="auto" w:w="0"/>
        <w:jc w:val="center"/>
        <w:tblLook w:firstColumn="1" w:firstRow="1" w:lastColumn="0" w:lastRow="0" w:noHBand="0" w:noVBand="1" w:val="04A0"/>
      </w:tblPr>
      <w:tblGrid>
        <w:gridCol w:w="4680"/>
        <w:gridCol w:w="4680"/>
      </w:tblGrid>
      <w:tr>
        <w:tc>
          <w:tcPr>
            <w:tcW w:type="dxa" w:w="1728"/>
          </w:tcPr>
          <w:p>
            <w:pPr>
              <w:spacing w:after="40"/>
            </w:pPr>
            <w:r>
              <w:rPr>
                <w:b/>
                <w:sz w:val="21"/>
              </w:rPr>
              <w:t>Nomor</w:t>
            </w:r>
          </w:p>
        </w:tc>
        <w:tc>
          <w:tcPr>
            <w:tcW w:type="dxa" w:w="7632"/>
          </w:tcPr>
          <w:p>
            <w:pPr>
              <w:spacing w:after="40"/>
            </w:pPr>
            <w:r>
              <w:rPr>
                <w:sz w:val="21"/>
              </w:rPr>
              <w:t>: 001/PROP-TI/FPST/IX/2026</w:t>
            </w:r>
          </w:p>
        </w:tc>
      </w:tr>
      <w:tr>
        <w:tc>
          <w:tcPr>
            <w:tcW w:type="dxa" w:w="1728"/>
          </w:tcPr>
          <w:p>
            <w:pPr>
              <w:spacing w:after="40"/>
            </w:pPr>
            <w:r>
              <w:rPr>
                <w:b/>
                <w:sz w:val="21"/>
              </w:rPr>
              <w:t>Lampiran</w:t>
            </w:r>
          </w:p>
        </w:tc>
        <w:tc>
          <w:tcPr>
            <w:tcW w:type="dxa" w:w="7632"/>
          </w:tcPr>
          <w:p>
            <w:pPr>
              <w:spacing w:after="40"/>
            </w:pPr>
            <w:r>
              <w:rPr>
                <w:sz w:val="21"/>
              </w:rPr>
              <w:t>: 1 (Satu) Berkas Proposal Lengkap</w:t>
            </w:r>
          </w:p>
        </w:tc>
      </w:tr>
      <w:tr>
        <w:tc>
          <w:tcPr>
            <w:tcW w:type="dxa" w:w="1728"/>
          </w:tcPr>
          <w:p>
            <w:pPr>
              <w:spacing w:after="40"/>
            </w:pPr>
            <w:r>
              <w:rPr>
                <w:b/>
                <w:sz w:val="21"/>
              </w:rPr>
              <w:t>Perihal</w:t>
            </w:r>
          </w:p>
        </w:tc>
        <w:tc>
          <w:tcPr>
            <w:tcW w:type="dxa" w:w="7632"/>
          </w:tcPr>
          <w:p>
            <w:pPr>
              <w:spacing w:after="40"/>
            </w:pPr>
            <w:r>
              <w:rPr>
                <w:sz w:val="21"/>
              </w:rPr>
              <w:t>: Penawaran Sistem Informasi Alur Administrasi Skripsi &amp; Digitalisasi Fakultas</w:t>
            </w:r>
          </w:p>
        </w:tc>
      </w:tr>
    </w:tbl>
    <w:p>
      <w:pPr>
        <w:spacing w:before="240" w:after="160"/>
      </w:pPr>
      <w:r>
        <w:rPr>
          <w:b/>
        </w:rPr>
        <w:t>Kepada Yth.</w:t>
        <w:br/>
        <w:t>Bapak/Ibu Dekan Fakultas Pertanian, Sains dan Teknologi (FPST)</w:t>
        <w:br/>
      </w:r>
      <w:r>
        <w:t>Di Tempat</w:t>
      </w:r>
    </w:p>
    <w:p>
      <w:r>
        <w:t>Dengan hormat,</w:t>
        <w:br/>
        <w:br/>
        <w:t>Seiring dengan komitmen peningkatan mutu tata kelola akademik, efisiensi operasional, dan standarisasi proses akreditasi program studi (Agroteknologi dan Agribisnis), penyederhanaan alur administrasi tugas akhir yang tertib, cepat, dan terdokumentasi rapi menjadi kebutuhan strategis bagi fakultas.</w:t>
        <w:br/>
        <w:br/>
        <w:t>Selama ini, proses pengajuan judul skripsi, verifikasi, penetapan pembimbing, hingga penjadwalan seminar dan sidang skripsi umumnya masih mengandalkan pencatatan kertas manual (hardcopy) yang berisiko tercecer, menyita waktu verifikasi, serta membebani staf administrasi prodi dan dosen.</w:t>
        <w:br/>
        <w:br/>
        <w:t xml:space="preserve">Melalui surat ini, kami bermaksud mengajukan penawaran </w:t>
      </w:r>
      <w:r>
        <w:rPr>
          <w:b/>
        </w:rPr>
        <w:t>Pengadaan Sistem Informasi Alur Administrasi Skripsi (Beli Putus / Penyerahan Source Code)</w:t>
      </w:r>
      <w:r>
        <w:t xml:space="preserve"> yang dirancang siap pakai untuk mempermudah alur kerja mahasiswa, dosen, kaprodi, dan staf administrasi dalam satu sistem terintegrasi, dengan pengelolaan server mandiri oleh unit Pusdatin universitas.</w:t>
        <w:br/>
        <w:br/>
        <w:t>Besar harapan kami agar usulan ini dapat diterima dan bermanfaat nyata bagi kemajuan tata kelola fakultas. Sebagai bahan pertimbangan Bapak/Ibu, terlampir rincian teknis, ruang lingkup, dan anggaran penawaran.</w:t>
      </w:r>
    </w:p>
    <w:p>
      <w:pPr>
        <w:spacing w:before="320"/>
      </w:pPr>
      <w:r>
        <w:t>Pontianak / Kalimantan Barat, 5 September 2026</w:t>
        <w:br/>
        <w:t>Hormat kami,</w:t>
        <w:br/>
        <w:br/>
        <w:br/>
        <w:br/>
      </w:r>
      <w:r>
        <w:rPr>
          <w:b/>
        </w:rPr>
        <w:t>[Nama Pengembang / Tim Pengembang]</w:t>
        <w:br/>
      </w:r>
      <w:r>
        <w:t>Pengembang Sistem Informasi &amp; Konsultan Teknologi</w:t>
        <w:br/>
        <w:t>Kontak/WhatsApp: [Nomor Kontak]</w:t>
      </w:r>
    </w:p>
    <w:p>
      <w:r>
        <w:br w:type="page"/>
      </w:r>
    </w:p>
    <w:p>
      <w:pPr>
        <w:keepNext/>
        <w:spacing w:before="320" w:after="120"/>
      </w:pPr>
      <w:r>
        <w:rPr>
          <w:b/>
          <w:color w:val="1E3A8A"/>
          <w:sz w:val="25"/>
        </w:rPr>
        <w:t>1. LATAR BELAKANG</w:t>
      </w:r>
    </w:p>
    <w:p>
      <w:r>
        <w:t>Proses penyelesaian tugas akhir/skripsi merupakan salah satu indikator vital dalam penilaian kinerja akademik dan akreditasi program studi. Di lingkungan Fakultas Pertanian, Sains dan Teknologi (FPST), mahasiswa dari Program Studi Agroteknologi dan Agribisnis memerlukan alur birokrasi yang jelas sejak tahap pengajuan judul hingga pelaksanaan sidang skripsi.</w:t>
      </w:r>
    </w:p>
    <w:p>
      <w:r>
        <w:t>Kendala nyata yang sering dihadapi dalam pengelolaan manual saat ini antara lain:</w:t>
      </w:r>
    </w:p>
    <w:p>
      <w:pPr>
        <w:pStyle w:val="ListBullet"/>
        <w:spacing w:after="60"/>
      </w:pPr>
      <w:r>
        <w:rPr>
          <w:b/>
        </w:rPr>
        <w:t xml:space="preserve">Risiko Berkas Fisik Tercecer: </w:t>
      </w:r>
      <w:r>
        <w:t>Surat kesediaan bimbingan, form verifikasi judul, dan lembar konsultasi fisik rawan hilang atau tertunda diverifikasi.</w:t>
      </w:r>
    </w:p>
    <w:p>
      <w:pPr>
        <w:pStyle w:val="ListBullet"/>
        <w:spacing w:after="60"/>
      </w:pPr>
      <w:r>
        <w:rPr>
          <w:b/>
        </w:rPr>
        <w:t xml:space="preserve">Keterbatasan Pelacakan Status (Tracking): </w:t>
      </w:r>
      <w:r>
        <w:t>Mahasiswa dan dosen sering kali kesulitan mengetahui status tahapan yang sedang berjalan tanpa harus menanyakan manual ke ruang prodi.</w:t>
      </w:r>
    </w:p>
    <w:p>
      <w:pPr>
        <w:pStyle w:val="ListBullet"/>
        <w:spacing w:after="60"/>
      </w:pPr>
      <w:r>
        <w:rPr>
          <w:b/>
        </w:rPr>
        <w:t xml:space="preserve">Beban Administrasi Berulang: </w:t>
      </w:r>
      <w:r>
        <w:t>Staf administrasi prodi harus menyusun dan mencetak surat undangan seminar, surat tugas, dan SK bimbingan secara manual satu per satu.</w:t>
      </w:r>
    </w:p>
    <w:p>
      <w:pPr>
        <w:pStyle w:val="ListBullet"/>
        <w:spacing w:after="60"/>
      </w:pPr>
      <w:r>
        <w:rPr>
          <w:b/>
        </w:rPr>
        <w:t xml:space="preserve">Kebutuhan Bukti Akreditasi: </w:t>
      </w:r>
      <w:r>
        <w:t>Ketika visitasi akreditasi (BAN-PT / LAM), penelusuran riwayat masa tunggu bimbingan mahasiswa masa lalu memakan waktu lama karena arsip masih tersebar.</w:t>
      </w:r>
    </w:p>
    <w:p>
      <w:pPr>
        <w:spacing w:before="80"/>
      </w:pPr>
      <w:r>
        <w:t>Oleh karena itu, penyediaan sistem informasi alur skripsi berbasis web yang mandiri, ringan, dan siap pakai menjadi solusi tepat guna untuk mendigitalisasi layanan akademik fakultas secara efisien sesuai standar acuan belanja universitas.</w:t>
      </w:r>
    </w:p>
    <w:p>
      <w:pPr>
        <w:keepNext/>
        <w:spacing w:before="320" w:after="120"/>
      </w:pPr>
      <w:r>
        <w:rPr>
          <w:b/>
          <w:color w:val="1E3A8A"/>
          <w:sz w:val="25"/>
        </w:rPr>
        <w:t>2. TUJUAN &amp; MANFAAT</w:t>
      </w:r>
    </w:p>
    <w:p>
      <w:r>
        <w:t>Kegiatan pengadaan sistem ini bertujuan untuk:</w:t>
      </w:r>
    </w:p>
    <w:p>
      <w:pPr>
        <w:pStyle w:val="ListBullet"/>
        <w:spacing w:after="40"/>
      </w:pPr>
      <w:r>
        <w:t>Menyediakan sistem informasi administrasi alur skripsi mandiri (independent) yang siap dipasang pada server Pusat Data dan Informasi (Pusdatin) universitas.</w:t>
      </w:r>
    </w:p>
    <w:p>
      <w:pPr>
        <w:pStyle w:val="ListBullet"/>
        <w:spacing w:after="40"/>
      </w:pPr>
      <w:r>
        <w:t>Memberikan kemudahan bagi staf administrasi prodi dan dosen dalam memantau serta memproses alur tugas akhir tanpa beban biaya langganan berulang.</w:t>
      </w:r>
    </w:p>
    <w:p>
      <w:r>
        <w:t>Manfaat nyata bagi fakultas:</w:t>
      </w:r>
    </w:p>
    <w:p>
      <w:pPr>
        <w:pStyle w:val="ListBullet"/>
        <w:spacing w:after="40"/>
      </w:pPr>
      <w:r>
        <w:rPr>
          <w:b/>
        </w:rPr>
        <w:t xml:space="preserve">Bagi Dekanat &amp; Kaprodi: </w:t>
      </w:r>
      <w:r>
        <w:t>Pengawasan proses skripsi per program studi terpantau transparan, riwayat keputusan tersimpan rapi, serta efisiensi waktu tanda tangan.</w:t>
      </w:r>
    </w:p>
    <w:p>
      <w:pPr>
        <w:pStyle w:val="ListBullet"/>
        <w:spacing w:after="40"/>
      </w:pPr>
      <w:r>
        <w:rPr>
          <w:b/>
        </w:rPr>
        <w:t xml:space="preserve">Bagi Dosen Pembimbing &amp; Penguji: </w:t>
      </w:r>
      <w:r>
        <w:t>Kemudahan melihat daftar mahasiswa bimbingan serta mengunduh dokumen tugas/undangan resmi secara mandiri.</w:t>
      </w:r>
    </w:p>
    <w:p>
      <w:pPr>
        <w:pStyle w:val="ListBullet"/>
        <w:spacing w:after="40"/>
      </w:pPr>
      <w:r>
        <w:rPr>
          <w:b/>
        </w:rPr>
        <w:t xml:space="preserve">Bagi Mahasiswa: </w:t>
      </w:r>
      <w:r>
        <w:t>Kepastian tahapan pengajuan, proses lebih cepat tanpa antrean fisik, dan arsip dokumen tersimpan digital.</w:t>
      </w:r>
    </w:p>
    <w:p>
      <w:pPr>
        <w:pStyle w:val="ListBullet"/>
        <w:spacing w:after="40"/>
      </w:pPr>
      <w:r>
        <w:rPr>
          <w:b/>
        </w:rPr>
        <w:t xml:space="preserve">Bagi Akreditasi: </w:t>
      </w:r>
      <w:r>
        <w:t>Seluruh data riwayat tugas akhir tersimpan dalam basis data yang rapi dan siap diaudit kapan saja.</w:t>
      </w:r>
    </w:p>
    <w:p>
      <w:pPr>
        <w:keepNext/>
        <w:spacing w:before="320" w:after="120"/>
      </w:pPr>
      <w:r>
        <w:rPr>
          <w:b/>
          <w:color w:val="1E3A8A"/>
          <w:sz w:val="25"/>
        </w:rPr>
        <w:t>3. RUANG LINGKUP &amp; FITUR UTAMA SISTEM</w:t>
      </w:r>
    </w:p>
    <w:p>
      <w:r>
        <w:t>Sistem dirancang dengan antarmuka yang bersih, ringan, dan mudah diakses melalui ponsel pintar maupun laptop dengan modul kerja sebagai berikut:</w:t>
      </w:r>
    </w:p>
    <w:tbl>
      <w:tblPr>
        <w:tblW w:type="auto" w:w="0"/>
        <w:jc w:val="center"/>
        <w:tblLook w:firstColumn="1" w:firstRow="1" w:lastColumn="0" w:lastRow="0" w:noHBand="0" w:noVBand="1" w:val="04A0"/>
      </w:tblPr>
      <w:tblGrid>
        <w:gridCol w:w="4680"/>
        <w:gridCol w:w="4680"/>
      </w:tblGrid>
      <w:tr>
        <w:tc>
          <w:tcPr>
            <w:tcW w:type="dxa" w:w="3312"/>
            <w:shd w:val="clear" w:color="auto" w:fill="E2E8F0"/>
            <w:tcMar>
              <w:top w:w="120" w:type="dxa"/>
              <w:bottom w:w="120" w:type="dxa"/>
              <w:left w:w="150" w:type="dxa"/>
              <w:right w:w="150" w:type="dxa"/>
            </w:tcMar>
            <w:tcBorders>
              <w:top w:val="single" w:sz="4" w:space="0" w:color="94A3B8"/>
              <w:bottom w:val="single" w:sz="4" w:space="0" w:color="94A3B8"/>
              <w:left w:val="none"/>
              <w:right w:val="none"/>
            </w:tcBorders>
          </w:tcPr>
          <w:p>
            <w:r>
              <w:rPr>
                <w:b/>
              </w:rPr>
              <w:t>Modul / Alur Kerja</w:t>
            </w:r>
          </w:p>
        </w:tc>
        <w:tc>
          <w:tcPr>
            <w:tcW w:type="dxa" w:w="6048"/>
            <w:shd w:val="clear" w:color="auto" w:fill="E2E8F0"/>
            <w:tcMar>
              <w:top w:w="120" w:type="dxa"/>
              <w:bottom w:w="120" w:type="dxa"/>
              <w:left w:w="150" w:type="dxa"/>
              <w:right w:w="150" w:type="dxa"/>
            </w:tcMar>
            <w:tcBorders>
              <w:top w:val="single" w:sz="4" w:space="0" w:color="94A3B8"/>
              <w:bottom w:val="single" w:sz="4" w:space="0" w:color="94A3B8"/>
              <w:left w:val="none"/>
              <w:right w:val="none"/>
            </w:tcBorders>
          </w:tcPr>
          <w:p>
            <w:r>
              <w:rPr>
                <w:b/>
              </w:rPr>
              <w:t>Deskripsi Fungsional</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Manajemen Pengguna &amp; Peran (Role)</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Hak akses terpisah dan terlindungi untuk Mahasiswa, Dosen, Ketua Program Studi (Kaprodi), Admin Prodi, dan Admin Utama.</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Pengajuan &amp; Verifikasi Judul</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Mahasiswa mengajukan judul skripsi secara online; Kaprodi meninjau, menerima, atau menolak dengan catatan perbaikan yang transparan.</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Penetapan Pembimbing &amp; Surat Kesediaan</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Kaprodi menentukan calon Pembimbing 1 dan 2; sistem secara otomatis mencetak dokumen surat kesediaan berformat PDF resmi ber-TTD.</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Verifikasi Konsultasi Mandiri</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Mahasiswa mengunggah lembar bukti konsultasi; Kaprodi/Admin memverifikasi hasil kesediaan dosen secara digital.</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Penerbitan SK Bimbingan</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Setelah pembimbing disetujui, sistem menerbitkan draf dan arsip SK Bimbingan resmi program studi.</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Pendaftaran Seminar &amp; Sidang Skripsi</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Pendaftaran seminar dan Sidang Skripsi, penjadwalan ruang/waktu, penetapan dosen penguji, serta pencetakan surat tugas &amp; undangan otomatis.</w:t>
            </w:r>
          </w:p>
        </w:tc>
      </w:tr>
      <w:tr>
        <w:tc>
          <w:tcPr>
            <w:tcW w:type="dxa" w:w="3312"/>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b/>
                <w:sz w:val="20"/>
              </w:rPr>
              <w:t>Keamanan &amp; Arsip Berkas Digital</w:t>
            </w:r>
          </w:p>
        </w:tc>
        <w:tc>
          <w:tcPr>
            <w:tcW w:type="dxa" w:w="6048"/>
            <w:tcMar>
              <w:top w:w="80" w:type="dxa"/>
              <w:bottom w:w="80" w:type="dxa"/>
              <w:left w:w="150" w:type="dxa"/>
              <w:right w:w="150" w:type="dxa"/>
            </w:tcMar>
            <w:tcBorders>
              <w:top w:val="single" w:sz="4" w:space="0" w:color="CBD5E1"/>
              <w:bottom w:val="single" w:sz="4" w:space="0" w:color="CBD5E1"/>
              <w:left w:val="none"/>
              <w:right w:val="none"/>
            </w:tcBorders>
          </w:tcPr>
          <w:p>
            <w:pPr>
              <w:spacing w:after="40"/>
            </w:pPr>
            <w:r>
              <w:rPr>
                <w:sz w:val="20"/>
              </w:rPr>
              <w:t>Dokumen penting dienkripsi dengan SHA-256 dan disimpan pada penyimpanan privat untuk mencegah pemalsuan dokumen akademik.</w:t>
            </w:r>
          </w:p>
        </w:tc>
      </w:tr>
    </w:tbl>
    <w:p>
      <w:pPr>
        <w:keepNext/>
        <w:spacing w:before="320" w:after="120"/>
      </w:pPr>
      <w:r>
        <w:rPr>
          <w:b/>
          <w:color w:val="1E3A8A"/>
          <w:sz w:val="25"/>
        </w:rPr>
        <w:t>4. METODE PENGADAAN (SKEMA BELI PUTUS)</w:t>
      </w:r>
    </w:p>
    <w:p>
      <w:r>
        <w:t>Pengadaan ini menggunakan skema Beli Putus (One-Time Source Code Handover) dengan ketentuan:</w:t>
      </w:r>
    </w:p>
    <w:p>
      <w:pPr>
        <w:pStyle w:val="ListBullet"/>
        <w:spacing w:after="40"/>
      </w:pPr>
      <w:r>
        <w:rPr>
          <w:b/>
        </w:rPr>
        <w:t xml:space="preserve">Kepemilikan Mandiri: </w:t>
      </w:r>
      <w:r>
        <w:t>Seluruh kode sumber (full source code) diserahkan kepada pihak fakultas/universitas untuk digunakan secara permanen tanpa biaya langganan software bulanan maupun tahunan (Zero Recurring Fee).</w:t>
      </w:r>
    </w:p>
    <w:p>
      <w:pPr>
        <w:pStyle w:val="ListBullet"/>
        <w:spacing w:after="40"/>
      </w:pPr>
      <w:r>
        <w:rPr>
          <w:b/>
        </w:rPr>
        <w:t xml:space="preserve">Pengelolaan Server oleh Pusdatin: </w:t>
      </w:r>
      <w:r>
        <w:t>Aplikasi dioperasikan pada infrastruktur server lokal atau cloud milik universitas yang dikelola oleh unit Pusat Data dan Informasi (Pusdatin).</w:t>
      </w:r>
    </w:p>
    <w:p>
      <w:pPr>
        <w:pStyle w:val="ListBullet"/>
        <w:spacing w:after="40"/>
      </w:pPr>
      <w:r>
        <w:rPr>
          <w:b/>
        </w:rPr>
        <w:t xml:space="preserve">Bebas Keterikatan Vendor: </w:t>
      </w:r>
      <w:r>
        <w:t>Programmer internal universitas memiliki hak penuh untuk memelihara dan mengembangkan kode sumber tersebut di masa mendatang.</w:t>
      </w:r>
    </w:p>
    <w:p>
      <w:pPr>
        <w:keepNext/>
        <w:spacing w:before="320" w:after="120"/>
      </w:pPr>
      <w:r>
        <w:rPr>
          <w:b/>
          <w:color w:val="1E3A8A"/>
          <w:sz w:val="25"/>
        </w:rPr>
        <w:t>5. RENCANA KERJA &amp; PENDAMPINGAN (DELIVERABLES)</w:t>
      </w:r>
    </w:p>
    <w:p>
      <w:r>
        <w:t>Layanan penyerahan sistem mencakup paket serah terima terfokus sebagai berikut:</w:t>
      </w:r>
    </w:p>
    <w:p>
      <w:pPr>
        <w:pStyle w:val="ListBullet"/>
        <w:spacing w:after="40"/>
      </w:pPr>
      <w:r>
        <w:rPr>
          <w:b/>
        </w:rPr>
        <w:t xml:space="preserve">Penyerahan Paket Source Code &amp; Basis Data: </w:t>
      </w:r>
      <w:r>
        <w:t>Paket kode program siap pakai beserta skema database untuk Program Studi Agroteknologi dan Agribisnis.</w:t>
      </w:r>
    </w:p>
    <w:p>
      <w:pPr>
        <w:pStyle w:val="ListBullet"/>
        <w:spacing w:after="40"/>
      </w:pPr>
      <w:r>
        <w:rPr>
          <w:b/>
        </w:rPr>
        <w:t xml:space="preserve">Kustomisasi Identitas Dasar Fakultas: </w:t>
      </w:r>
      <w:r>
        <w:t>Penyesuaian nama resmi fakultas, logo institusi, serta format kop surat resmi program studi.</w:t>
      </w:r>
    </w:p>
    <w:p>
      <w:pPr>
        <w:pStyle w:val="ListBullet"/>
        <w:spacing w:after="40"/>
      </w:pPr>
      <w:r>
        <w:rPr>
          <w:b/>
        </w:rPr>
        <w:t xml:space="preserve">Asistensi Teknis Deployment ke Server Pusdatin: </w:t>
      </w:r>
      <w:r>
        <w:t>1 (satu) sesi pendampingan teknis bersama staf Pusdatin/UPT Komputer universitas hingga aplikasi terpasang aktif.</w:t>
      </w:r>
    </w:p>
    <w:p>
      <w:pPr>
        <w:pStyle w:val="ListBullet"/>
        <w:spacing w:after="40"/>
      </w:pPr>
      <w:r>
        <w:rPr>
          <w:b/>
        </w:rPr>
        <w:t xml:space="preserve">Panduan Operasional Ringkas (Quick Guide PDF): </w:t>
      </w:r>
      <w:r>
        <w:t>Buku petunjuk digital ringkas untuk memudahkan operasional oleh Admin Prodi dan Dosen/Kaprodi.</w:t>
      </w:r>
    </w:p>
    <w:p>
      <w:pPr>
        <w:pStyle w:val="ListBullet"/>
        <w:spacing w:after="40"/>
      </w:pPr>
      <w:r>
        <w:rPr>
          <w:b/>
        </w:rPr>
        <w:t xml:space="preserve">Garansi Sistem (Warranty): </w:t>
      </w:r>
      <w:r>
        <w:t>Dukungan teknis perbaikan kendala error/bug sistem selama 1 (satu) bulan terhitung sejak serah terima aplikasi.</w:t>
      </w:r>
    </w:p>
    <w:p>
      <w:pPr>
        <w:keepNext/>
        <w:spacing w:before="320" w:after="120"/>
      </w:pPr>
      <w:r>
        <w:rPr>
          <w:b/>
          <w:color w:val="1E3A8A"/>
          <w:sz w:val="25"/>
        </w:rPr>
        <w:t>6. RENCANA ANGGARAN BIAYA (RAB)</w:t>
      </w:r>
    </w:p>
    <w:p>
      <w:pPr>
        <w:spacing w:before="80" w:after="120"/>
      </w:pPr>
      <w:r>
        <w:rPr>
          <w:b/>
          <w:color w:val="1E3A8A"/>
          <w:sz w:val="24"/>
        </w:rPr>
        <w:t>Total Investasi Pengadaan: Rp 8.000.000,- (Delapan Juta Rupiah)</w:t>
      </w:r>
    </w:p>
    <w:tbl>
      <w:tblPr>
        <w:tblW w:type="auto" w:w="0"/>
        <w:jc w:val="center"/>
        <w:tblLook w:firstColumn="1" w:firstRow="1" w:lastColumn="0" w:lastRow="0" w:noHBand="0" w:noVBand="1" w:val="04A0"/>
      </w:tblPr>
      <w:tblGrid>
        <w:gridCol w:w="3120"/>
        <w:gridCol w:w="3120"/>
        <w:gridCol w:w="3120"/>
      </w:tblGrid>
      <w:tr>
        <w:tc>
          <w:tcPr>
            <w:tcW w:type="dxa" w:w="864"/>
            <w:shd w:val="clear" w:color="auto" w:fill="E2E8F0"/>
            <w:tcMar>
              <w:top w:w="100" w:type="dxa"/>
              <w:bottom w:w="100" w:type="dxa"/>
              <w:left w:w="100" w:type="dxa"/>
              <w:right w:w="100" w:type="dxa"/>
            </w:tcMar>
            <w:tcBorders>
              <w:top w:val="single" w:sz="4" w:space="0" w:color="94A3B8"/>
              <w:bottom w:val="single" w:sz="4" w:space="0" w:color="94A3B8"/>
              <w:left w:val="none"/>
              <w:right w:val="none"/>
            </w:tcBorders>
          </w:tcPr>
          <w:p>
            <w:pPr>
              <w:jc w:val="center"/>
            </w:pPr>
            <w:r>
              <w:rPr>
                <w:b/>
              </w:rPr>
              <w:t>No</w:t>
            </w:r>
          </w:p>
        </w:tc>
        <w:tc>
          <w:tcPr>
            <w:tcW w:type="dxa" w:w="6192"/>
            <w:shd w:val="clear" w:color="auto" w:fill="E2E8F0"/>
            <w:tcMar>
              <w:top w:w="100" w:type="dxa"/>
              <w:bottom w:w="100" w:type="dxa"/>
              <w:left w:w="100" w:type="dxa"/>
              <w:right w:w="100" w:type="dxa"/>
            </w:tcMar>
            <w:tcBorders>
              <w:top w:val="single" w:sz="4" w:space="0" w:color="94A3B8"/>
              <w:bottom w:val="single" w:sz="4" w:space="0" w:color="94A3B8"/>
              <w:left w:val="none"/>
              <w:right w:val="none"/>
            </w:tcBorders>
          </w:tcPr>
          <w:p>
            <w:r>
              <w:rPr>
                <w:b/>
              </w:rPr>
              <w:t>Komponen Pekerjaan</w:t>
            </w:r>
          </w:p>
        </w:tc>
        <w:tc>
          <w:tcPr>
            <w:tcW w:type="dxa" w:w="2304"/>
            <w:shd w:val="clear" w:color="auto" w:fill="E2E8F0"/>
            <w:tcMar>
              <w:top w:w="100" w:type="dxa"/>
              <w:bottom w:w="100" w:type="dxa"/>
              <w:left w:w="100" w:type="dxa"/>
              <w:right w:w="100" w:type="dxa"/>
            </w:tcMar>
            <w:tcBorders>
              <w:top w:val="single" w:sz="4" w:space="0" w:color="94A3B8"/>
              <w:bottom w:val="single" w:sz="4" w:space="0" w:color="94A3B8"/>
              <w:left w:val="none"/>
              <w:right w:val="none"/>
            </w:tcBorders>
          </w:tcPr>
          <w:p>
            <w:pPr>
              <w:jc w:val="right"/>
            </w:pPr>
            <w:r>
              <w:rPr>
                <w:b/>
              </w:rPr>
              <w:t>Biaya (Rp)</w:t>
            </w:r>
          </w:p>
        </w:tc>
      </w:tr>
      <w:tr>
        <w:tc>
          <w:tcPr>
            <w:tcW w:type="dxa" w:w="86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center"/>
            </w:pPr>
            <w:r>
              <w:rPr>
                <w:sz w:val="20"/>
              </w:rPr>
              <w:t>1</w:t>
            </w:r>
          </w:p>
        </w:tc>
        <w:tc>
          <w:tcPr>
            <w:tcW w:type="dxa" w:w="6192"/>
            <w:tcMar>
              <w:top w:w="60" w:type="dxa"/>
              <w:bottom w:w="60" w:type="dxa"/>
              <w:left w:w="100" w:type="dxa"/>
              <w:right w:w="100" w:type="dxa"/>
            </w:tcMar>
            <w:tcBorders>
              <w:top w:val="single" w:sz="4" w:space="0" w:color="CBD5E1"/>
              <w:bottom w:val="single" w:sz="4" w:space="0" w:color="CBD5E1"/>
              <w:left w:val="none"/>
              <w:right w:val="none"/>
            </w:tcBorders>
          </w:tcPr>
          <w:p>
            <w:pPr>
              <w:spacing w:after="40"/>
            </w:pPr>
            <w:r>
              <w:rPr>
                <w:sz w:val="20"/>
              </w:rPr>
              <w:t>Lisensi Penuh Kode Sumber (Full Source Code) &amp; Basis Data Alur Skripsi</w:t>
            </w:r>
          </w:p>
        </w:tc>
        <w:tc>
          <w:tcPr>
            <w:tcW w:type="dxa" w:w="230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right"/>
            </w:pPr>
            <w:r>
              <w:rPr>
                <w:sz w:val="20"/>
              </w:rPr>
              <w:t>4.500.000</w:t>
            </w:r>
          </w:p>
        </w:tc>
      </w:tr>
      <w:tr>
        <w:tc>
          <w:tcPr>
            <w:tcW w:type="dxa" w:w="86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center"/>
            </w:pPr>
            <w:r>
              <w:rPr>
                <w:sz w:val="20"/>
              </w:rPr>
              <w:t>2</w:t>
            </w:r>
          </w:p>
        </w:tc>
        <w:tc>
          <w:tcPr>
            <w:tcW w:type="dxa" w:w="6192"/>
            <w:tcMar>
              <w:top w:w="60" w:type="dxa"/>
              <w:bottom w:w="60" w:type="dxa"/>
              <w:left w:w="100" w:type="dxa"/>
              <w:right w:w="100" w:type="dxa"/>
            </w:tcMar>
            <w:tcBorders>
              <w:top w:val="single" w:sz="4" w:space="0" w:color="CBD5E1"/>
              <w:bottom w:val="single" w:sz="4" w:space="0" w:color="CBD5E1"/>
              <w:left w:val="none"/>
              <w:right w:val="none"/>
            </w:tcBorders>
          </w:tcPr>
          <w:p>
            <w:pPr>
              <w:spacing w:after="40"/>
            </w:pPr>
            <w:r>
              <w:rPr>
                <w:sz w:val="20"/>
              </w:rPr>
              <w:t>Kustomisasi Identitas Fakultas (Logo, Format Kop Surat &amp; Template PDF)</w:t>
            </w:r>
          </w:p>
        </w:tc>
        <w:tc>
          <w:tcPr>
            <w:tcW w:type="dxa" w:w="230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right"/>
            </w:pPr>
            <w:r>
              <w:rPr>
                <w:sz w:val="20"/>
              </w:rPr>
              <w:t>1.500.000</w:t>
            </w:r>
          </w:p>
        </w:tc>
      </w:tr>
      <w:tr>
        <w:tc>
          <w:tcPr>
            <w:tcW w:type="dxa" w:w="86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center"/>
            </w:pPr>
            <w:r>
              <w:rPr>
                <w:sz w:val="20"/>
              </w:rPr>
              <w:t>3</w:t>
            </w:r>
          </w:p>
        </w:tc>
        <w:tc>
          <w:tcPr>
            <w:tcW w:type="dxa" w:w="6192"/>
            <w:tcMar>
              <w:top w:w="60" w:type="dxa"/>
              <w:bottom w:w="60" w:type="dxa"/>
              <w:left w:w="100" w:type="dxa"/>
              <w:right w:w="100" w:type="dxa"/>
            </w:tcMar>
            <w:tcBorders>
              <w:top w:val="single" w:sz="4" w:space="0" w:color="CBD5E1"/>
              <w:bottom w:val="single" w:sz="4" w:space="0" w:color="CBD5E1"/>
              <w:left w:val="none"/>
              <w:right w:val="none"/>
            </w:tcBorders>
          </w:tcPr>
          <w:p>
            <w:pPr>
              <w:spacing w:after="40"/>
            </w:pPr>
            <w:r>
              <w:rPr>
                <w:sz w:val="20"/>
              </w:rPr>
              <w:t>Asistensi Deployment &amp; Integrasi Server Pusdatin Universitas (1 Sesi)</w:t>
            </w:r>
          </w:p>
        </w:tc>
        <w:tc>
          <w:tcPr>
            <w:tcW w:type="dxa" w:w="230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right"/>
            </w:pPr>
            <w:r>
              <w:rPr>
                <w:sz w:val="20"/>
              </w:rPr>
              <w:t>1.000.000</w:t>
            </w:r>
          </w:p>
        </w:tc>
      </w:tr>
      <w:tr>
        <w:tc>
          <w:tcPr>
            <w:tcW w:type="dxa" w:w="86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center"/>
            </w:pPr>
            <w:r>
              <w:rPr>
                <w:sz w:val="20"/>
              </w:rPr>
              <w:t>4</w:t>
            </w:r>
          </w:p>
        </w:tc>
        <w:tc>
          <w:tcPr>
            <w:tcW w:type="dxa" w:w="6192"/>
            <w:tcMar>
              <w:top w:w="60" w:type="dxa"/>
              <w:bottom w:w="60" w:type="dxa"/>
              <w:left w:w="100" w:type="dxa"/>
              <w:right w:w="100" w:type="dxa"/>
            </w:tcMar>
            <w:tcBorders>
              <w:top w:val="single" w:sz="4" w:space="0" w:color="CBD5E1"/>
              <w:bottom w:val="single" w:sz="4" w:space="0" w:color="CBD5E1"/>
              <w:left w:val="none"/>
              <w:right w:val="none"/>
            </w:tcBorders>
          </w:tcPr>
          <w:p>
            <w:pPr>
              <w:spacing w:after="40"/>
            </w:pPr>
            <w:r>
              <w:rPr>
                <w:sz w:val="20"/>
              </w:rPr>
              <w:t>Panduan Operasional Ringkas (Quick User Guide) &amp; Garansi Bug (1 Bulan)</w:t>
            </w:r>
          </w:p>
        </w:tc>
        <w:tc>
          <w:tcPr>
            <w:tcW w:type="dxa" w:w="2304"/>
            <w:tcMar>
              <w:top w:w="60" w:type="dxa"/>
              <w:bottom w:w="60" w:type="dxa"/>
              <w:left w:w="100" w:type="dxa"/>
              <w:right w:w="100" w:type="dxa"/>
            </w:tcMar>
            <w:tcBorders>
              <w:top w:val="single" w:sz="4" w:space="0" w:color="CBD5E1"/>
              <w:bottom w:val="single" w:sz="4" w:space="0" w:color="CBD5E1"/>
              <w:left w:val="none"/>
              <w:right w:val="none"/>
            </w:tcBorders>
          </w:tcPr>
          <w:p>
            <w:pPr>
              <w:spacing w:after="40"/>
              <w:jc w:val="right"/>
            </w:pPr>
            <w:r>
              <w:rPr>
                <w:sz w:val="20"/>
              </w:rPr>
              <w:t>1.000.000</w:t>
            </w:r>
          </w:p>
        </w:tc>
      </w:tr>
      <w:tr>
        <w:tc>
          <w:tcPr>
            <w:tcW w:type="dxa" w:w="864"/>
            <w:shd w:val="clear" w:color="auto" w:fill="F1F5F9"/>
            <w:tcMar>
              <w:top w:w="80" w:type="dxa"/>
              <w:bottom w:w="80" w:type="dxa"/>
              <w:left w:w="100" w:type="dxa"/>
              <w:right w:w="100" w:type="dxa"/>
            </w:tcMar>
            <w:tcBorders>
              <w:top w:val="single" w:sz="4" w:space="0" w:color="94A3B8"/>
              <w:bottom w:val="single" w:sz="4" w:space="0" w:color="94A3B8"/>
              <w:left w:val="none"/>
              <w:right w:val="none"/>
            </w:tcBorders>
          </w:tcPr>
          <w:p/>
        </w:tc>
        <w:tc>
          <w:tcPr>
            <w:tcW w:type="dxa" w:w="6192"/>
            <w:shd w:val="clear" w:color="auto" w:fill="F1F5F9"/>
            <w:tcMar>
              <w:top w:w="80" w:type="dxa"/>
              <w:bottom w:w="80" w:type="dxa"/>
              <w:left w:w="100" w:type="dxa"/>
              <w:right w:w="100" w:type="dxa"/>
            </w:tcMar>
            <w:tcBorders>
              <w:top w:val="single" w:sz="4" w:space="0" w:color="94A3B8"/>
              <w:bottom w:val="single" w:sz="4" w:space="0" w:color="94A3B8"/>
              <w:left w:val="none"/>
              <w:right w:val="none"/>
            </w:tcBorders>
          </w:tcPr>
          <w:p>
            <w:pPr>
              <w:spacing w:after="40"/>
            </w:pPr>
            <w:r>
              <w:rPr>
                <w:b/>
                <w:sz w:val="20"/>
              </w:rPr>
              <w:t>TOTAL NILAI PENGADAAN</w:t>
            </w:r>
          </w:p>
        </w:tc>
        <w:tc>
          <w:tcPr>
            <w:tcW w:type="dxa" w:w="2304"/>
            <w:shd w:val="clear" w:color="auto" w:fill="F1F5F9"/>
            <w:tcMar>
              <w:top w:w="80" w:type="dxa"/>
              <w:bottom w:w="80" w:type="dxa"/>
              <w:left w:w="100" w:type="dxa"/>
              <w:right w:w="100" w:type="dxa"/>
            </w:tcMar>
            <w:tcBorders>
              <w:top w:val="single" w:sz="4" w:space="0" w:color="94A3B8"/>
              <w:bottom w:val="single" w:sz="4" w:space="0" w:color="94A3B8"/>
              <w:left w:val="none"/>
              <w:right w:val="none"/>
            </w:tcBorders>
          </w:tcPr>
          <w:p>
            <w:pPr>
              <w:spacing w:after="40"/>
              <w:jc w:val="right"/>
            </w:pPr>
            <w:r>
              <w:rPr>
                <w:b/>
                <w:sz w:val="20"/>
              </w:rPr>
              <w:t>Rp 8.000.000</w:t>
            </w:r>
          </w:p>
        </w:tc>
      </w:tr>
    </w:tbl>
    <w:p>
      <w:pPr>
        <w:spacing w:before="160" w:after="40"/>
      </w:pPr>
      <w:r>
        <w:rPr>
          <w:b/>
        </w:rPr>
        <w:t>Mekanisme Pembayaran Bertahap (Termin):</w:t>
      </w:r>
    </w:p>
    <w:p>
      <w:pPr>
        <w:pStyle w:val="ListBullet"/>
        <w:spacing w:after="40"/>
      </w:pPr>
      <w:r>
        <w:rPr>
          <w:b/>
        </w:rPr>
        <w:t xml:space="preserve">Termin I (Uang Muka / DP 50%): </w:t>
      </w:r>
      <w:r>
        <w:t>Rp 4.000.000,- dibayarkan setelah Surat Perintah Kerja (SPK) disepakati bersama.</w:t>
      </w:r>
    </w:p>
    <w:p>
      <w:pPr>
        <w:pStyle w:val="ListBullet"/>
        <w:spacing w:after="40"/>
      </w:pPr>
      <w:r>
        <w:rPr>
          <w:b/>
        </w:rPr>
        <w:t xml:space="preserve">Termin II (Pelunasan 50%): </w:t>
      </w:r>
      <w:r>
        <w:t>Rp 4.000.000,- dibayarkan setelah aplikasi berhasil terpasang di server Pusdatin dan Berita Acara Serah Terima (BAST) ditandatangani.</w:t>
      </w:r>
    </w:p>
    <w:p>
      <w:pPr>
        <w:keepNext/>
        <w:spacing w:before="320" w:after="120"/>
      </w:pPr>
      <w:r>
        <w:rPr>
          <w:b/>
          <w:color w:val="1E3A8A"/>
          <w:sz w:val="25"/>
        </w:rPr>
        <w:t>7. PENUTUP</w:t>
      </w:r>
    </w:p>
    <w:p>
      <w:r>
        <w:t>Digitalisasi alur skripsi di Fakultas Pertanian, Sains dan Teknologi merupakan langkah nyata dalam menciptakan tata kelola fakultas yang akuntabel, efisien, dan modern. Kami berkomitmen untuk mendampingi Bapak/Ibu dan seluruh staf hingga sistem ini dapat digunakan dengan baik dalam operasional sehari-hari.</w:t>
        <w:br/>
        <w:br/>
        <w:t>Demikian proposal penawaran ini kami sampaikan. Atas perhatian, kepercayaan, dan kerja sama yang baik dari Bapak/Ibu Dekan beserta jajaran pimpinan fakultas, kami ucapkan terima kasih.</w:t>
      </w:r>
    </w:p>
    <w:p>
      <w:pPr>
        <w:keepNext/>
        <w:spacing w:before="320"/>
      </w:pPr>
      <w:r>
        <w:t>Pontianak / Kalimantan Barat, 5 September 2026</w:t>
        <w:br/>
        <w:br/>
        <w:t>Hormat Kami,</w:t>
        <w:br/>
        <w:t>Pengembang Sistem Informasi</w:t>
        <w:br/>
        <w:br/>
        <w:br/>
        <w:br/>
        <w:br/>
      </w:r>
      <w:r>
        <w:rPr>
          <w:b/>
        </w:rPr>
        <w:t>[Nama Pengembang / Tim Pengembang]</w:t>
        <w:br/>
      </w:r>
      <w:r>
        <w:t>Konsultan Teknologi &amp; Rekayasa Perangkat Lunak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