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0C2" w:rsidRPr="006770C2" w:rsidRDefault="006770C2" w:rsidP="006770C2">
      <w:pPr>
        <w:shd w:val="clear" w:color="auto" w:fill="FFFFFF"/>
        <w:spacing w:before="166" w:after="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Table </w:t>
      </w:r>
      <w:hyperlink r:id="rId4" w:tgtFrame="table" w:history="1">
        <w:r w:rsidRPr="006770C2">
          <w:rPr>
            <w:rFonts w:ascii="Times New Roman" w:eastAsia="Times New Roman" w:hAnsi="Times New Roman" w:cs="Times New Roman"/>
            <w:color w:val="642A8F"/>
            <w:sz w:val="25"/>
            <w:u w:val="single"/>
            <w:lang w:eastAsia="en-GB"/>
          </w:rPr>
          <w:t>1</w:t>
        </w:r>
      </w:hyperlink>
      <w:r w:rsidRPr="006770C2">
        <w:rPr>
          <w:rFonts w:ascii="Times New Roman" w:eastAsia="Times New Roman" w:hAnsi="Times New Roman" w:cs="Times New Roman"/>
          <w:color w:val="000000"/>
          <w:sz w:val="25"/>
          <w:szCs w:val="25"/>
          <w:lang w:eastAsia="en-GB"/>
        </w:rPr>
        <w:t xml:space="preserve"> describes the characteristics of the adult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aged 13 years and older and child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aged 1 month to 13 years in the UTH. The total number of cases was 1378 for adults and 209 for children during the 4-month research period from May to August 2017. There were 16 refusal cases in total. The most of reasons for refusals were respondents’ busyness to handle the funerals and emotional strain on the deceased. These refusal cases were simply excluded from the analysis since the number was small. Regarding the sex, 62.8% of adult cases and 44.9% of child cases were male. The median ages of the adults and children were 42.0 and 2.08 years old, respectively. Figures </w:t>
      </w:r>
      <w:hyperlink r:id="rId5" w:tgtFrame="figure" w:history="1">
        <w:r w:rsidRPr="006770C2">
          <w:rPr>
            <w:rFonts w:ascii="Times New Roman" w:eastAsia="Times New Roman" w:hAnsi="Times New Roman" w:cs="Times New Roman"/>
            <w:color w:val="642A8F"/>
            <w:sz w:val="25"/>
            <w:u w:val="single"/>
            <w:lang w:eastAsia="en-GB"/>
          </w:rPr>
          <w:t>1</w:t>
        </w:r>
      </w:hyperlink>
      <w:r w:rsidRPr="006770C2">
        <w:rPr>
          <w:rFonts w:ascii="Times New Roman" w:eastAsia="Times New Roman" w:hAnsi="Times New Roman" w:cs="Times New Roman"/>
          <w:color w:val="000000"/>
          <w:sz w:val="25"/>
          <w:szCs w:val="25"/>
          <w:lang w:eastAsia="en-GB"/>
        </w:rPr>
        <w:t> and </w:t>
      </w:r>
      <w:hyperlink r:id="rId6" w:tgtFrame="figure" w:history="1">
        <w:r w:rsidRPr="006770C2">
          <w:rPr>
            <w:rFonts w:ascii="Times New Roman" w:eastAsia="Times New Roman" w:hAnsi="Times New Roman" w:cs="Times New Roman"/>
            <w:color w:val="642A8F"/>
            <w:sz w:val="25"/>
            <w:u w:val="single"/>
            <w:lang w:eastAsia="en-GB"/>
          </w:rPr>
          <w:t>​</w:t>
        </w:r>
        <w:r w:rsidRPr="006770C2">
          <w:rPr>
            <w:rFonts w:ascii="Times New Roman" w:eastAsia="Times New Roman" w:hAnsi="Times New Roman" w:cs="Times New Roman"/>
            <w:color w:val="642A8F"/>
            <w:sz w:val="25"/>
            <w:lang w:eastAsia="en-GB"/>
          </w:rPr>
          <w:t>and2</w:t>
        </w:r>
        <w:r w:rsidRPr="006770C2">
          <w:rPr>
            <w:rFonts w:ascii="Times New Roman" w:eastAsia="Times New Roman" w:hAnsi="Times New Roman" w:cs="Times New Roman"/>
            <w:color w:val="642A8F"/>
            <w:sz w:val="25"/>
            <w:u w:val="single"/>
            <w:lang w:eastAsia="en-GB"/>
          </w:rPr>
          <w:t>2</w:t>
        </w:r>
      </w:hyperlink>
      <w:r w:rsidRPr="006770C2">
        <w:rPr>
          <w:rFonts w:ascii="Times New Roman" w:eastAsia="Times New Roman" w:hAnsi="Times New Roman" w:cs="Times New Roman"/>
          <w:color w:val="000000"/>
          <w:sz w:val="25"/>
          <w:szCs w:val="25"/>
          <w:lang w:eastAsia="en-GB"/>
        </w:rPr>
        <w:t xml:space="preserve"> present the age distribution according to the four age categories for the adult cases and by year for the child cases. Both figures show that there was not a normal distribution as the age of the adult cases had two peaks of distribution and the child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occurred more frequently in the younger ages. Most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originated from within Lusaka District.</w:t>
      </w:r>
    </w:p>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1</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Characteristics of the brought-in-dead adult and child cases in the University Teaching Hospital</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3291"/>
        <w:gridCol w:w="1526"/>
        <w:gridCol w:w="1526"/>
      </w:tblGrid>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Adult</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Child</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Total Number</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1378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209</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Number of Refusals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Male (%) (95% CI)</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62.8 (60.2–65.4)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44.9 (38.0–51.7)</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Age (median year: 25–75th percentile)</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42.0 (34.0–65.0)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0.88 (0.42–3.0)</w:t>
            </w:r>
          </w:p>
        </w:tc>
      </w:tr>
      <w:tr w:rsidR="006770C2" w:rsidRPr="006770C2" w:rsidTr="006770C2">
        <w:tc>
          <w:tcPr>
            <w:tcW w:w="0" w:type="auto"/>
            <w:gridSpan w:val="3"/>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Origins of the Participants</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Within Lusaka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1299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190</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lastRenderedPageBreak/>
              <w:t> </w:t>
            </w:r>
            <w:r w:rsidRPr="006770C2">
              <w:rPr>
                <w:rFonts w:ascii="Times New Roman" w:eastAsia="Times New Roman" w:hAnsi="Times New Roman" w:cs="Times New Roman"/>
                <w:sz w:val="20"/>
                <w:szCs w:val="20"/>
                <w:lang w:eastAsia="en-GB"/>
              </w:rPr>
              <w:t>Outside of Lusaka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Unknown Origin</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w:t>
            </w:r>
          </w:p>
        </w:tc>
      </w:tr>
    </w:tbl>
    <w:p w:rsidR="006770C2" w:rsidRPr="006770C2" w:rsidRDefault="006770C2" w:rsidP="006770C2">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lang w:eastAsia="en-GB"/>
        </w:rPr>
      </w:pPr>
      <w:r w:rsidRPr="006770C2">
        <w:rPr>
          <w:rFonts w:ascii="Times New Roman" w:eastAsia="Times New Roman" w:hAnsi="Times New Roman" w:cs="Times New Roman"/>
          <w:color w:val="000000"/>
          <w:sz w:val="25"/>
          <w:szCs w:val="25"/>
          <w:lang w:eastAsia="en-GB"/>
        </w:rPr>
        <w:fldChar w:fldCharType="begin"/>
      </w:r>
      <w:r w:rsidRPr="006770C2">
        <w:rPr>
          <w:rFonts w:ascii="Times New Roman" w:eastAsia="Times New Roman" w:hAnsi="Times New Roman" w:cs="Times New Roman"/>
          <w:color w:val="000000"/>
          <w:sz w:val="25"/>
          <w:szCs w:val="25"/>
          <w:lang w:eastAsia="en-GB"/>
        </w:rPr>
        <w:instrText xml:space="preserve"> HYPERLINK "https://www.ncbi.nlm.nih.gov/core/lw/2.0/html/tileshop_pmc/tileshop_pmc_inline.html?title=Click%20on%20image%20to%20zoom&amp;p=PMC3&amp;id=7147005_12889_2020_8575_Fig1_HTML.jpg" \t "tileshopwindow" </w:instrText>
      </w:r>
      <w:r w:rsidRPr="006770C2">
        <w:rPr>
          <w:rFonts w:ascii="Times New Roman" w:eastAsia="Times New Roman" w:hAnsi="Times New Roman" w:cs="Times New Roman"/>
          <w:color w:val="000000"/>
          <w:sz w:val="25"/>
          <w:szCs w:val="25"/>
          <w:lang w:eastAsia="en-GB"/>
        </w:rPr>
        <w:fldChar w:fldCharType="separate"/>
      </w:r>
    </w:p>
    <w:p w:rsidR="006770C2" w:rsidRPr="006770C2" w:rsidRDefault="006770C2" w:rsidP="006770C2">
      <w:pPr>
        <w:shd w:val="clear" w:color="auto" w:fill="FFFCF0"/>
        <w:spacing w:line="240" w:lineRule="auto"/>
        <w:jc w:val="center"/>
        <w:rPr>
          <w:rFonts w:ascii="Times New Roman" w:eastAsia="Times New Roman" w:hAnsi="Times New Roman" w:cs="Times New Roman"/>
          <w:color w:val="000000"/>
          <w:sz w:val="24"/>
          <w:szCs w:val="24"/>
          <w:lang w:eastAsia="en-GB"/>
        </w:rPr>
      </w:pPr>
      <w:r w:rsidRPr="006770C2">
        <w:rPr>
          <w:rFonts w:ascii="Times New Roman" w:eastAsia="Times New Roman" w:hAnsi="Times New Roman" w:cs="Times New Roman"/>
          <w:color w:val="642A8F"/>
          <w:sz w:val="25"/>
          <w:szCs w:val="25"/>
          <w:bdr w:val="none" w:sz="0" w:space="0" w:color="auto" w:frame="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 external file that holds a picture, illustration, etc.&#10;Object name is 12889_2020_8575_Fig1_HTML.jpg" href="https://www.ncbi.nlm.nih.gov/core/lw/2.0/html/tileshop_pmc/tileshop_pmc_inline.html?title=Click%20on%20image%20to%20zoom&amp;p=PMC3&amp;id=7147005_12889_2020_8575_Fig1_HTML.jpg" target="&quot;tileshopwindow&quot;" style="width:24pt;height:24pt" o:button="t"/>
        </w:pict>
      </w:r>
      <w:r w:rsidRPr="006770C2">
        <w:rPr>
          <w:rFonts w:ascii="Times New Roman" w:eastAsia="Times New Roman" w:hAnsi="Times New Roman" w:cs="Times New Roman"/>
          <w:color w:val="000000"/>
          <w:sz w:val="25"/>
          <w:szCs w:val="25"/>
          <w:lang w:eastAsia="en-GB"/>
        </w:rPr>
        <w:fldChar w:fldCharType="end"/>
      </w:r>
    </w:p>
    <w:p w:rsidR="006770C2" w:rsidRPr="006770C2" w:rsidRDefault="006770C2" w:rsidP="006770C2">
      <w:pPr>
        <w:shd w:val="clear" w:color="auto" w:fill="FFFCF0"/>
        <w:spacing w:after="0" w:line="240" w:lineRule="auto"/>
        <w:textAlignment w:val="top"/>
        <w:rPr>
          <w:rFonts w:ascii="Times New Roman" w:eastAsia="Times New Roman" w:hAnsi="Times New Roman" w:cs="Times New Roman"/>
          <w:color w:val="666666"/>
          <w:sz w:val="23"/>
          <w:szCs w:val="23"/>
          <w:lang w:eastAsia="en-GB"/>
        </w:rPr>
      </w:pPr>
      <w:hyperlink r:id="rId7" w:tgtFrame="figure" w:history="1">
        <w:r w:rsidRPr="006770C2">
          <w:rPr>
            <w:rFonts w:ascii="Times New Roman" w:eastAsia="Times New Roman" w:hAnsi="Times New Roman" w:cs="Times New Roman"/>
            <w:color w:val="642A8F"/>
            <w:sz w:val="23"/>
            <w:u w:val="single"/>
            <w:lang w:eastAsia="en-GB"/>
          </w:rPr>
          <w:t>Fig. 1</w:t>
        </w:r>
      </w:hyperlink>
    </w:p>
    <w:p w:rsidR="006770C2" w:rsidRPr="006770C2" w:rsidRDefault="006770C2" w:rsidP="006770C2">
      <w:pPr>
        <w:shd w:val="clear" w:color="auto" w:fill="FFFCF0"/>
        <w:spacing w:before="166" w:line="240" w:lineRule="auto"/>
        <w:textAlignment w:val="top"/>
        <w:rPr>
          <w:rFonts w:ascii="Times New Roman" w:eastAsia="Times New Roman" w:hAnsi="Times New Roman" w:cs="Times New Roman"/>
          <w:color w:val="666666"/>
          <w:sz w:val="23"/>
          <w:szCs w:val="23"/>
          <w:lang w:eastAsia="en-GB"/>
        </w:rPr>
      </w:pPr>
      <w:r w:rsidRPr="006770C2">
        <w:rPr>
          <w:rFonts w:ascii="Times New Roman" w:eastAsia="Times New Roman" w:hAnsi="Times New Roman" w:cs="Times New Roman"/>
          <w:color w:val="666666"/>
          <w:sz w:val="23"/>
          <w:szCs w:val="23"/>
          <w:lang w:eastAsia="en-GB"/>
        </w:rPr>
        <w:t xml:space="preserve">Age distribution of the adult brought-in-dead cases </w:t>
      </w:r>
      <w:proofErr w:type="gramStart"/>
      <w:r w:rsidRPr="006770C2">
        <w:rPr>
          <w:rFonts w:ascii="Times New Roman" w:eastAsia="Times New Roman" w:hAnsi="Times New Roman" w:cs="Times New Roman"/>
          <w:color w:val="666666"/>
          <w:sz w:val="23"/>
          <w:szCs w:val="23"/>
          <w:lang w:eastAsia="en-GB"/>
        </w:rPr>
        <w:t>who</w:t>
      </w:r>
      <w:proofErr w:type="gramEnd"/>
      <w:r w:rsidRPr="006770C2">
        <w:rPr>
          <w:rFonts w:ascii="Times New Roman" w:eastAsia="Times New Roman" w:hAnsi="Times New Roman" w:cs="Times New Roman"/>
          <w:color w:val="666666"/>
          <w:sz w:val="23"/>
          <w:szCs w:val="23"/>
          <w:lang w:eastAsia="en-GB"/>
        </w:rPr>
        <w:t xml:space="preserve"> were aged 13 years and older. The data were collected in the University Teaching Hospital during the research period</w:t>
      </w:r>
    </w:p>
    <w:p w:rsidR="006770C2" w:rsidRPr="006770C2" w:rsidRDefault="006770C2" w:rsidP="006770C2">
      <w:pPr>
        <w:shd w:val="clear" w:color="auto" w:fill="FFFCF0"/>
        <w:spacing w:after="0" w:line="240" w:lineRule="auto"/>
        <w:rPr>
          <w:rFonts w:ascii="Times New Roman" w:eastAsia="Times New Roman" w:hAnsi="Times New Roman" w:cs="Times New Roman"/>
          <w:color w:val="642A8F"/>
          <w:sz w:val="25"/>
          <w:szCs w:val="25"/>
          <w:u w:val="single"/>
          <w:lang w:eastAsia="en-GB"/>
        </w:rPr>
      </w:pPr>
      <w:r w:rsidRPr="006770C2">
        <w:rPr>
          <w:rFonts w:ascii="Times New Roman" w:eastAsia="Times New Roman" w:hAnsi="Times New Roman" w:cs="Times New Roman"/>
          <w:color w:val="000000"/>
          <w:sz w:val="25"/>
          <w:szCs w:val="25"/>
          <w:lang w:eastAsia="en-GB"/>
        </w:rPr>
        <w:fldChar w:fldCharType="begin"/>
      </w:r>
      <w:r w:rsidRPr="006770C2">
        <w:rPr>
          <w:rFonts w:ascii="Times New Roman" w:eastAsia="Times New Roman" w:hAnsi="Times New Roman" w:cs="Times New Roman"/>
          <w:color w:val="000000"/>
          <w:sz w:val="25"/>
          <w:szCs w:val="25"/>
          <w:lang w:eastAsia="en-GB"/>
        </w:rPr>
        <w:instrText xml:space="preserve"> HYPERLINK "https://www.ncbi.nlm.nih.gov/pmc/articles/PMC7147005/figure/Fig2/" \t "figure" </w:instrText>
      </w:r>
      <w:r w:rsidRPr="006770C2">
        <w:rPr>
          <w:rFonts w:ascii="Times New Roman" w:eastAsia="Times New Roman" w:hAnsi="Times New Roman" w:cs="Times New Roman"/>
          <w:color w:val="000000"/>
          <w:sz w:val="25"/>
          <w:szCs w:val="25"/>
          <w:lang w:eastAsia="en-GB"/>
        </w:rPr>
        <w:fldChar w:fldCharType="separate"/>
      </w:r>
    </w:p>
    <w:p w:rsidR="006770C2" w:rsidRPr="006770C2" w:rsidRDefault="006770C2" w:rsidP="006770C2">
      <w:pPr>
        <w:shd w:val="clear" w:color="auto" w:fill="FFFCF0"/>
        <w:spacing w:line="240" w:lineRule="auto"/>
        <w:jc w:val="center"/>
        <w:rPr>
          <w:rFonts w:ascii="Times New Roman" w:eastAsia="Times New Roman" w:hAnsi="Times New Roman" w:cs="Times New Roman"/>
          <w:sz w:val="24"/>
          <w:szCs w:val="24"/>
          <w:lang w:eastAsia="en-GB"/>
        </w:rPr>
      </w:pPr>
      <w:r w:rsidRPr="006770C2">
        <w:rPr>
          <w:rFonts w:ascii="Times New Roman" w:eastAsia="Times New Roman" w:hAnsi="Times New Roman" w:cs="Times New Roman"/>
          <w:color w:val="642A8F"/>
          <w:sz w:val="25"/>
          <w:szCs w:val="25"/>
          <w:lang w:eastAsia="en-GB"/>
        </w:rPr>
        <w:pict>
          <v:shape id="_x0000_i1026" type="#_x0000_t75" alt="An external file that holds a picture, illustration, etc.&#10;Object name is 12889_2020_8575_Fig2_HTML.jpg" href="https://www.ncbi.nlm.nih.gov/pmc/articles/PMC7147005/figure/Fig2/" target="&quot;figure&quot;" style="width:24pt;height:24pt" o:button="t"/>
        </w:pict>
      </w:r>
    </w:p>
    <w:p w:rsidR="006770C2" w:rsidRPr="006770C2" w:rsidRDefault="006770C2" w:rsidP="006770C2">
      <w:pPr>
        <w:shd w:val="clear" w:color="auto" w:fill="FFFCF0"/>
        <w:spacing w:after="0"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fldChar w:fldCharType="end"/>
      </w:r>
    </w:p>
    <w:p w:rsidR="006770C2" w:rsidRPr="006770C2" w:rsidRDefault="006770C2" w:rsidP="006770C2">
      <w:pPr>
        <w:shd w:val="clear" w:color="auto" w:fill="FFFCF0"/>
        <w:spacing w:after="0" w:line="240" w:lineRule="auto"/>
        <w:textAlignment w:val="top"/>
        <w:rPr>
          <w:rFonts w:ascii="Times New Roman" w:eastAsia="Times New Roman" w:hAnsi="Times New Roman" w:cs="Times New Roman"/>
          <w:color w:val="666666"/>
          <w:sz w:val="23"/>
          <w:szCs w:val="23"/>
          <w:lang w:eastAsia="en-GB"/>
        </w:rPr>
      </w:pPr>
      <w:hyperlink r:id="rId8" w:tgtFrame="figure" w:history="1">
        <w:r w:rsidRPr="006770C2">
          <w:rPr>
            <w:rFonts w:ascii="Times New Roman" w:eastAsia="Times New Roman" w:hAnsi="Times New Roman" w:cs="Times New Roman"/>
            <w:color w:val="642A8F"/>
            <w:sz w:val="23"/>
            <w:u w:val="single"/>
            <w:lang w:eastAsia="en-GB"/>
          </w:rPr>
          <w:t>Fig. 2</w:t>
        </w:r>
      </w:hyperlink>
    </w:p>
    <w:p w:rsidR="006770C2" w:rsidRPr="006770C2" w:rsidRDefault="006770C2" w:rsidP="006770C2">
      <w:pPr>
        <w:shd w:val="clear" w:color="auto" w:fill="FFFCF0"/>
        <w:spacing w:before="166" w:line="240" w:lineRule="auto"/>
        <w:textAlignment w:val="top"/>
        <w:rPr>
          <w:rFonts w:ascii="Times New Roman" w:eastAsia="Times New Roman" w:hAnsi="Times New Roman" w:cs="Times New Roman"/>
          <w:color w:val="666666"/>
          <w:sz w:val="23"/>
          <w:szCs w:val="23"/>
          <w:lang w:eastAsia="en-GB"/>
        </w:rPr>
      </w:pPr>
      <w:proofErr w:type="gramStart"/>
      <w:r w:rsidRPr="006770C2">
        <w:rPr>
          <w:rFonts w:ascii="Times New Roman" w:eastAsia="Times New Roman" w:hAnsi="Times New Roman" w:cs="Times New Roman"/>
          <w:color w:val="666666"/>
          <w:sz w:val="23"/>
          <w:szCs w:val="23"/>
          <w:lang w:eastAsia="en-GB"/>
        </w:rPr>
        <w:t>Age distribution of the child brought-in-dead cases who were aged 1 month to 13 years.</w:t>
      </w:r>
      <w:proofErr w:type="gramEnd"/>
      <w:r w:rsidRPr="006770C2">
        <w:rPr>
          <w:rFonts w:ascii="Times New Roman" w:eastAsia="Times New Roman" w:hAnsi="Times New Roman" w:cs="Times New Roman"/>
          <w:color w:val="666666"/>
          <w:sz w:val="23"/>
          <w:szCs w:val="23"/>
          <w:lang w:eastAsia="en-GB"/>
        </w:rPr>
        <w:t xml:space="preserve"> The data were collected in the University Teaching Hospital during the research period</w:t>
      </w:r>
    </w:p>
    <w:p w:rsidR="006770C2" w:rsidRPr="006770C2" w:rsidRDefault="006770C2" w:rsidP="006770C2">
      <w:pPr>
        <w:shd w:val="clear" w:color="auto" w:fill="FFFFFF"/>
        <w:spacing w:before="308"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 xml:space="preserve">The </w:t>
      </w:r>
      <w:proofErr w:type="spellStart"/>
      <w:r w:rsidRPr="006770C2">
        <w:rPr>
          <w:rFonts w:ascii="Arial" w:eastAsia="Times New Roman" w:hAnsi="Arial" w:cs="Arial"/>
          <w:color w:val="724128"/>
          <w:sz w:val="25"/>
          <w:szCs w:val="25"/>
          <w:lang w:eastAsia="en-GB"/>
        </w:rPr>
        <w:t>CoD</w:t>
      </w:r>
      <w:proofErr w:type="spellEnd"/>
      <w:r w:rsidRPr="006770C2">
        <w:rPr>
          <w:rFonts w:ascii="Arial" w:eastAsia="Times New Roman" w:hAnsi="Arial" w:cs="Arial"/>
          <w:color w:val="724128"/>
          <w:sz w:val="25"/>
          <w:szCs w:val="25"/>
          <w:lang w:eastAsia="en-GB"/>
        </w:rPr>
        <w:t xml:space="preserve"> among the adult </w:t>
      </w:r>
      <w:proofErr w:type="spellStart"/>
      <w:r w:rsidRPr="006770C2">
        <w:rPr>
          <w:rFonts w:ascii="Arial" w:eastAsia="Times New Roman" w:hAnsi="Arial" w:cs="Arial"/>
          <w:color w:val="724128"/>
          <w:sz w:val="25"/>
          <w:szCs w:val="25"/>
          <w:lang w:eastAsia="en-GB"/>
        </w:rPr>
        <w:t>BiD</w:t>
      </w:r>
      <w:proofErr w:type="spellEnd"/>
      <w:r w:rsidRPr="006770C2">
        <w:rPr>
          <w:rFonts w:ascii="Arial" w:eastAsia="Times New Roman" w:hAnsi="Arial" w:cs="Arial"/>
          <w:color w:val="724128"/>
          <w:sz w:val="25"/>
          <w:szCs w:val="25"/>
          <w:lang w:eastAsia="en-GB"/>
        </w:rPr>
        <w:t xml:space="preserve"> cases aged 13 years and older</w:t>
      </w:r>
    </w:p>
    <w:p w:rsidR="006770C2" w:rsidRPr="006770C2" w:rsidRDefault="006770C2" w:rsidP="006770C2">
      <w:pPr>
        <w:shd w:val="clear" w:color="auto" w:fill="FFFFFF"/>
        <w:spacing w:before="166" w:after="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Table </w:t>
      </w:r>
      <w:hyperlink r:id="rId9" w:tgtFrame="table" w:history="1">
        <w:r w:rsidRPr="006770C2">
          <w:rPr>
            <w:rFonts w:ascii="Times New Roman" w:eastAsia="Times New Roman" w:hAnsi="Times New Roman" w:cs="Times New Roman"/>
            <w:color w:val="642A8F"/>
            <w:sz w:val="25"/>
            <w:u w:val="single"/>
            <w:lang w:eastAsia="en-GB"/>
          </w:rPr>
          <w:t>2</w:t>
        </w:r>
      </w:hyperlink>
      <w:r w:rsidRPr="006770C2">
        <w:rPr>
          <w:rFonts w:ascii="Times New Roman" w:eastAsia="Times New Roman" w:hAnsi="Times New Roman" w:cs="Times New Roman"/>
          <w:color w:val="000000"/>
          <w:sz w:val="25"/>
          <w:szCs w:val="25"/>
          <w:lang w:eastAsia="en-GB"/>
        </w:rPr>
        <w:t xml:space="preserve"> describes the top 10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among the adult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according to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Among 1366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in the UTH from May to August 2017, the top 10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calculated by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were, in order, acquired immunodeficiency syndrome (AIDS), stroke, tuberculosis (TB), suicide, diabetes mellitus (DM), other cardiovascular diseases (CVDs), pneumonia, epilepsy, acute myocardial infarction, and asthma. While two main infectious diseases each occupied one of the highest ranks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there were also several non-communicable diseases (NCDs). However, there were several discrepancies with the death notification form. Firstly, AIDS was not found in the top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instead, TB and malaria ranked higher. Secondly, </w:t>
      </w:r>
      <w:proofErr w:type="spellStart"/>
      <w:r w:rsidRPr="006770C2">
        <w:rPr>
          <w:rFonts w:ascii="Times New Roman" w:eastAsia="Times New Roman" w:hAnsi="Times New Roman" w:cs="Times New Roman"/>
          <w:color w:val="000000"/>
          <w:sz w:val="25"/>
          <w:szCs w:val="25"/>
          <w:lang w:eastAsia="en-GB"/>
        </w:rPr>
        <w:t>diarrhea</w:t>
      </w:r>
      <w:proofErr w:type="spellEnd"/>
      <w:r w:rsidRPr="006770C2">
        <w:rPr>
          <w:rFonts w:ascii="Times New Roman" w:eastAsia="Times New Roman" w:hAnsi="Times New Roman" w:cs="Times New Roman"/>
          <w:color w:val="000000"/>
          <w:sz w:val="25"/>
          <w:szCs w:val="25"/>
          <w:lang w:eastAsia="en-GB"/>
        </w:rPr>
        <w:t>/dysentery was replaced with pneumonia, and cancers and CVDs were ranked higher than stroke, epilepsy, and asthma.</w:t>
      </w:r>
    </w:p>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2</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 xml:space="preserve">Top 10 Causes of deaths among the brought-in-dead adult cases in the University Teaching Hospital during research period by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659"/>
        <w:gridCol w:w="1492"/>
        <w:gridCol w:w="492"/>
        <w:gridCol w:w="709"/>
        <w:gridCol w:w="659"/>
        <w:gridCol w:w="1770"/>
        <w:gridCol w:w="492"/>
        <w:gridCol w:w="709"/>
      </w:tblGrid>
      <w:tr w:rsidR="006770C2" w:rsidRPr="006770C2" w:rsidTr="006770C2">
        <w:trPr>
          <w:tblHeader/>
        </w:trPr>
        <w:tc>
          <w:tcPr>
            <w:tcW w:w="0" w:type="auto"/>
            <w:gridSpan w:val="4"/>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roofErr w:type="spellStart"/>
            <w:r w:rsidRPr="006770C2">
              <w:rPr>
                <w:rFonts w:ascii="Times New Roman" w:eastAsia="Times New Roman" w:hAnsi="Times New Roman" w:cs="Times New Roman"/>
                <w:b/>
                <w:bCs/>
                <w:sz w:val="20"/>
                <w:szCs w:val="20"/>
                <w:lang w:eastAsia="en-GB"/>
              </w:rPr>
              <w:lastRenderedPageBreak/>
              <w:t>SmartVA</w:t>
            </w:r>
            <w:proofErr w:type="spellEnd"/>
            <w:r w:rsidRPr="006770C2">
              <w:rPr>
                <w:rFonts w:ascii="Times New Roman" w:eastAsia="Times New Roman" w:hAnsi="Times New Roman" w:cs="Times New Roman"/>
                <w:b/>
                <w:bCs/>
                <w:sz w:val="20"/>
                <w:szCs w:val="20"/>
                <w:lang w:eastAsia="en-GB"/>
              </w:rPr>
              <w:t xml:space="preserve"> (</w:t>
            </w:r>
            <w:r w:rsidRPr="006770C2">
              <w:rPr>
                <w:rFonts w:ascii="Times New Roman" w:eastAsia="Times New Roman" w:hAnsi="Times New Roman" w:cs="Times New Roman"/>
                <w:b/>
                <w:bCs/>
                <w:i/>
                <w:iCs/>
                <w:sz w:val="20"/>
                <w:lang w:eastAsia="en-GB"/>
              </w:rPr>
              <w:t>N</w:t>
            </w:r>
            <w:r w:rsidRPr="006770C2">
              <w:rPr>
                <w:rFonts w:ascii="Times New Roman" w:eastAsia="Times New Roman" w:hAnsi="Times New Roman" w:cs="Times New Roman"/>
                <w:b/>
                <w:bCs/>
                <w:sz w:val="20"/>
                <w:szCs w:val="20"/>
                <w:lang w:eastAsia="en-GB"/>
              </w:rPr>
              <w:t> = 1366)</w:t>
            </w:r>
          </w:p>
        </w:tc>
        <w:tc>
          <w:tcPr>
            <w:tcW w:w="0" w:type="auto"/>
            <w:gridSpan w:val="4"/>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Death Notification Form (N = 1366)</w:t>
            </w:r>
          </w:p>
        </w:tc>
      </w:tr>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Rank</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Cause of Death</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No</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Rank</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Cause of Death</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No</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344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25.2%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526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38.5%</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HIV/AIDS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278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TB</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239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17.5%</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Stroke</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134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CVDs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148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10.8%</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TB</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Malaria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5.5%</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Suicide</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Stroke</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4.3%</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Cancers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3.3%</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CVDs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Suicide</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Pneumonia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roofErr w:type="spellStart"/>
            <w:r w:rsidRPr="006770C2">
              <w:rPr>
                <w:rFonts w:ascii="Times New Roman" w:eastAsia="Times New Roman" w:hAnsi="Times New Roman" w:cs="Times New Roman"/>
                <w:sz w:val="20"/>
                <w:szCs w:val="20"/>
                <w:lang w:eastAsia="en-GB"/>
              </w:rPr>
              <w:t>Diarrhea</w:t>
            </w:r>
            <w:proofErr w:type="spellEnd"/>
            <w:r w:rsidRPr="006770C2">
              <w:rPr>
                <w:rFonts w:ascii="Times New Roman" w:eastAsia="Times New Roman" w:hAnsi="Times New Roman" w:cs="Times New Roman"/>
                <w:sz w:val="20"/>
                <w:szCs w:val="20"/>
                <w:lang w:eastAsia="en-GB"/>
              </w:rPr>
              <w:t>/Dysentery</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2.3%</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Epilepsy</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NCDs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IHD/AMI</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1.8%</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lastRenderedPageBreak/>
              <w:t>10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Asthma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RTA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1.8%</w:t>
            </w:r>
          </w:p>
        </w:tc>
      </w:tr>
    </w:tbl>
    <w:p w:rsidR="006770C2" w:rsidRPr="006770C2" w:rsidRDefault="006770C2" w:rsidP="006770C2">
      <w:pPr>
        <w:shd w:val="clear" w:color="auto" w:fill="FFFCF0"/>
        <w:spacing w:line="240" w:lineRule="auto"/>
        <w:rPr>
          <w:rFonts w:ascii="Times New Roman" w:eastAsia="Times New Roman" w:hAnsi="Times New Roman" w:cs="Times New Roman"/>
          <w:color w:val="000000"/>
          <w:sz w:val="21"/>
          <w:szCs w:val="21"/>
          <w:lang w:eastAsia="en-GB"/>
        </w:rPr>
      </w:pPr>
      <w:r w:rsidRPr="006770C2">
        <w:rPr>
          <w:rFonts w:ascii="Times New Roman" w:eastAsia="Times New Roman" w:hAnsi="Times New Roman" w:cs="Times New Roman"/>
          <w:color w:val="000000"/>
          <w:sz w:val="21"/>
          <w:szCs w:val="21"/>
          <w:lang w:eastAsia="en-GB"/>
        </w:rPr>
        <w:t>NB: </w:t>
      </w:r>
      <w:r w:rsidRPr="006770C2">
        <w:rPr>
          <w:rFonts w:ascii="Times New Roman" w:eastAsia="Times New Roman" w:hAnsi="Times New Roman" w:cs="Times New Roman"/>
          <w:i/>
          <w:iCs/>
          <w:color w:val="000000"/>
          <w:sz w:val="21"/>
          <w:lang w:eastAsia="en-GB"/>
        </w:rPr>
        <w:t>TB</w:t>
      </w:r>
      <w:r w:rsidRPr="006770C2">
        <w:rPr>
          <w:rFonts w:ascii="Times New Roman" w:eastAsia="Times New Roman" w:hAnsi="Times New Roman" w:cs="Times New Roman"/>
          <w:color w:val="000000"/>
          <w:sz w:val="21"/>
          <w:szCs w:val="21"/>
          <w:lang w:eastAsia="en-GB"/>
        </w:rPr>
        <w:t> tuberculosis, </w:t>
      </w:r>
      <w:r w:rsidRPr="006770C2">
        <w:rPr>
          <w:rFonts w:ascii="Times New Roman" w:eastAsia="Times New Roman" w:hAnsi="Times New Roman" w:cs="Times New Roman"/>
          <w:i/>
          <w:iCs/>
          <w:color w:val="000000"/>
          <w:sz w:val="21"/>
          <w:lang w:eastAsia="en-GB"/>
        </w:rPr>
        <w:t>DM</w:t>
      </w:r>
      <w:r w:rsidRPr="006770C2">
        <w:rPr>
          <w:rFonts w:ascii="Times New Roman" w:eastAsia="Times New Roman" w:hAnsi="Times New Roman" w:cs="Times New Roman"/>
          <w:color w:val="000000"/>
          <w:sz w:val="21"/>
          <w:szCs w:val="21"/>
          <w:lang w:eastAsia="en-GB"/>
        </w:rPr>
        <w:t> diabetes mellitus, </w:t>
      </w:r>
      <w:r w:rsidRPr="006770C2">
        <w:rPr>
          <w:rFonts w:ascii="Times New Roman" w:eastAsia="Times New Roman" w:hAnsi="Times New Roman" w:cs="Times New Roman"/>
          <w:i/>
          <w:iCs/>
          <w:color w:val="000000"/>
          <w:sz w:val="21"/>
          <w:lang w:eastAsia="en-GB"/>
        </w:rPr>
        <w:t>CVDs</w:t>
      </w:r>
      <w:r w:rsidRPr="006770C2">
        <w:rPr>
          <w:rFonts w:ascii="Times New Roman" w:eastAsia="Times New Roman" w:hAnsi="Times New Roman" w:cs="Times New Roman"/>
          <w:color w:val="000000"/>
          <w:sz w:val="21"/>
          <w:szCs w:val="21"/>
          <w:lang w:eastAsia="en-GB"/>
        </w:rPr>
        <w:t> cardiovascular diseases, </w:t>
      </w:r>
      <w:r w:rsidRPr="006770C2">
        <w:rPr>
          <w:rFonts w:ascii="Times New Roman" w:eastAsia="Times New Roman" w:hAnsi="Times New Roman" w:cs="Times New Roman"/>
          <w:i/>
          <w:iCs/>
          <w:color w:val="000000"/>
          <w:sz w:val="21"/>
          <w:lang w:eastAsia="en-GB"/>
        </w:rPr>
        <w:t>AMI</w:t>
      </w:r>
      <w:r w:rsidRPr="006770C2">
        <w:rPr>
          <w:rFonts w:ascii="Times New Roman" w:eastAsia="Times New Roman" w:hAnsi="Times New Roman" w:cs="Times New Roman"/>
          <w:color w:val="000000"/>
          <w:sz w:val="21"/>
          <w:szCs w:val="21"/>
          <w:lang w:eastAsia="en-GB"/>
        </w:rPr>
        <w:t> acute myocardial infarction, </w:t>
      </w:r>
      <w:r w:rsidRPr="006770C2">
        <w:rPr>
          <w:rFonts w:ascii="Times New Roman" w:eastAsia="Times New Roman" w:hAnsi="Times New Roman" w:cs="Times New Roman"/>
          <w:i/>
          <w:iCs/>
          <w:color w:val="000000"/>
          <w:sz w:val="21"/>
          <w:lang w:eastAsia="en-GB"/>
        </w:rPr>
        <w:t>IHD</w:t>
      </w:r>
      <w:r w:rsidRPr="006770C2">
        <w:rPr>
          <w:rFonts w:ascii="Times New Roman" w:eastAsia="Times New Roman" w:hAnsi="Times New Roman" w:cs="Times New Roman"/>
          <w:color w:val="000000"/>
          <w:sz w:val="21"/>
          <w:szCs w:val="21"/>
          <w:lang w:eastAsia="en-GB"/>
        </w:rPr>
        <w:t> ischemic heart disease, </w:t>
      </w:r>
      <w:r w:rsidRPr="006770C2">
        <w:rPr>
          <w:rFonts w:ascii="Times New Roman" w:eastAsia="Times New Roman" w:hAnsi="Times New Roman" w:cs="Times New Roman"/>
          <w:i/>
          <w:iCs/>
          <w:color w:val="000000"/>
          <w:sz w:val="21"/>
          <w:lang w:eastAsia="en-GB"/>
        </w:rPr>
        <w:t>NCDs</w:t>
      </w:r>
      <w:r w:rsidRPr="006770C2">
        <w:rPr>
          <w:rFonts w:ascii="Times New Roman" w:eastAsia="Times New Roman" w:hAnsi="Times New Roman" w:cs="Times New Roman"/>
          <w:color w:val="000000"/>
          <w:sz w:val="21"/>
          <w:szCs w:val="21"/>
          <w:lang w:eastAsia="en-GB"/>
        </w:rPr>
        <w:t> non-communicable diseases, </w:t>
      </w:r>
      <w:r w:rsidRPr="006770C2">
        <w:rPr>
          <w:rFonts w:ascii="Times New Roman" w:eastAsia="Times New Roman" w:hAnsi="Times New Roman" w:cs="Times New Roman"/>
          <w:i/>
          <w:iCs/>
          <w:color w:val="000000"/>
          <w:sz w:val="21"/>
          <w:lang w:eastAsia="en-GB"/>
        </w:rPr>
        <w:t>RTA</w:t>
      </w:r>
      <w:r w:rsidRPr="006770C2">
        <w:rPr>
          <w:rFonts w:ascii="Times New Roman" w:eastAsia="Times New Roman" w:hAnsi="Times New Roman" w:cs="Times New Roman"/>
          <w:color w:val="000000"/>
          <w:sz w:val="21"/>
          <w:szCs w:val="21"/>
          <w:lang w:eastAsia="en-GB"/>
        </w:rPr>
        <w:t> road traffic accident</w:t>
      </w:r>
    </w:p>
    <w:p w:rsidR="006770C2" w:rsidRPr="006770C2" w:rsidRDefault="006770C2" w:rsidP="006770C2">
      <w:pPr>
        <w:shd w:val="clear" w:color="auto" w:fill="FFFFFF"/>
        <w:spacing w:before="166" w:after="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 xml:space="preserve">If a case’s tariff score was not significantly higher for a specific health condition than for other conditions,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w:t>
      </w:r>
      <w:proofErr w:type="spellStart"/>
      <w:r w:rsidRPr="006770C2">
        <w:rPr>
          <w:rFonts w:ascii="Times New Roman" w:eastAsia="Times New Roman" w:hAnsi="Times New Roman" w:cs="Times New Roman"/>
          <w:color w:val="000000"/>
          <w:sz w:val="25"/>
          <w:szCs w:val="25"/>
          <w:lang w:eastAsia="en-GB"/>
        </w:rPr>
        <w:t>labeled</w:t>
      </w:r>
      <w:proofErr w:type="spellEnd"/>
      <w:r w:rsidRPr="006770C2">
        <w:rPr>
          <w:rFonts w:ascii="Times New Roman" w:eastAsia="Times New Roman" w:hAnsi="Times New Roman" w:cs="Times New Roman"/>
          <w:color w:val="000000"/>
          <w:sz w:val="25"/>
          <w:szCs w:val="25"/>
          <w:lang w:eastAsia="en-GB"/>
        </w:rPr>
        <w:t xml:space="preserve"> it as an undetermined case. In addition, in the death notification form, some descriptions, such as fever, pain, or natural death, could not be properly coded. Table </w:t>
      </w:r>
      <w:hyperlink r:id="rId10" w:tgtFrame="table" w:history="1">
        <w:r w:rsidRPr="006770C2">
          <w:rPr>
            <w:rFonts w:ascii="Times New Roman" w:eastAsia="Times New Roman" w:hAnsi="Times New Roman" w:cs="Times New Roman"/>
            <w:color w:val="642A8F"/>
            <w:sz w:val="25"/>
            <w:u w:val="single"/>
            <w:lang w:eastAsia="en-GB"/>
          </w:rPr>
          <w:t>3</w:t>
        </w:r>
      </w:hyperlink>
      <w:r w:rsidRPr="006770C2">
        <w:rPr>
          <w:rFonts w:ascii="Times New Roman" w:eastAsia="Times New Roman" w:hAnsi="Times New Roman" w:cs="Times New Roman"/>
          <w:color w:val="000000"/>
          <w:sz w:val="25"/>
          <w:szCs w:val="25"/>
          <w:lang w:eastAsia="en-GB"/>
        </w:rPr>
        <w:t xml:space="preserve"> shows the number of determined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of the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according to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The proportion of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whose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were determined was 61% for the death notification form and 75% for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The results of the statistical analysis showed that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significantly improved the determination rate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compared with the death notification form. Table </w:t>
      </w:r>
      <w:hyperlink r:id="rId11" w:tgtFrame="table" w:history="1">
        <w:r w:rsidRPr="006770C2">
          <w:rPr>
            <w:rFonts w:ascii="Times New Roman" w:eastAsia="Times New Roman" w:hAnsi="Times New Roman" w:cs="Times New Roman"/>
            <w:color w:val="642A8F"/>
            <w:sz w:val="25"/>
            <w:u w:val="single"/>
            <w:lang w:eastAsia="en-GB"/>
          </w:rPr>
          <w:t>4</w:t>
        </w:r>
      </w:hyperlink>
      <w:r w:rsidRPr="006770C2">
        <w:rPr>
          <w:rFonts w:ascii="Times New Roman" w:eastAsia="Times New Roman" w:hAnsi="Times New Roman" w:cs="Times New Roman"/>
          <w:color w:val="000000"/>
          <w:sz w:val="25"/>
          <w:szCs w:val="25"/>
          <w:lang w:eastAsia="en-GB"/>
        </w:rPr>
        <w:t xml:space="preserve"> presents the number of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whose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were not determined by the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The proportion of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with a determined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according to both methods was 686 (50.2%). Regarding these cases, Table </w:t>
      </w:r>
      <w:hyperlink r:id="rId12" w:tgtFrame="table" w:history="1">
        <w:r w:rsidRPr="006770C2">
          <w:rPr>
            <w:rFonts w:ascii="Times New Roman" w:eastAsia="Times New Roman" w:hAnsi="Times New Roman" w:cs="Times New Roman"/>
            <w:color w:val="642A8F"/>
            <w:sz w:val="25"/>
            <w:u w:val="single"/>
            <w:lang w:eastAsia="en-GB"/>
          </w:rPr>
          <w:t>4</w:t>
        </w:r>
      </w:hyperlink>
      <w:r w:rsidRPr="006770C2">
        <w:rPr>
          <w:rFonts w:ascii="Times New Roman" w:eastAsia="Times New Roman" w:hAnsi="Times New Roman" w:cs="Times New Roman"/>
          <w:color w:val="000000"/>
          <w:sz w:val="25"/>
          <w:szCs w:val="25"/>
          <w:lang w:eastAsia="en-GB"/>
        </w:rPr>
        <w:t xml:space="preserve"> shows that 43.3%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matched between the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and the concordance rate was low in term of the kappa coefficient (0.083 95% confidence interval [CI]: 0.069–0.089).</w:t>
      </w:r>
    </w:p>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3</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 xml:space="preserve">Number of the brought-in-dead adult cases with determined causes of death by both of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in the University Teaching Hospital</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2170"/>
        <w:gridCol w:w="3303"/>
        <w:gridCol w:w="681"/>
        <w:gridCol w:w="1192"/>
        <w:gridCol w:w="837"/>
      </w:tblGrid>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 xml:space="preserve">No. of Cases With Determined </w:t>
            </w:r>
            <w:proofErr w:type="spellStart"/>
            <w:r w:rsidRPr="006770C2">
              <w:rPr>
                <w:rFonts w:ascii="Times New Roman" w:eastAsia="Times New Roman" w:hAnsi="Times New Roman" w:cs="Times New Roman"/>
                <w:b/>
                <w:bCs/>
                <w:sz w:val="20"/>
                <w:szCs w:val="20"/>
                <w:lang w:eastAsia="en-GB"/>
              </w:rPr>
              <w:t>CoDs</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Mean</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95% CI</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i/>
                <w:iCs/>
                <w:sz w:val="20"/>
                <w:lang w:eastAsia="en-GB"/>
              </w:rPr>
              <w:t>P</w:t>
            </w:r>
            <w:r w:rsidRPr="006770C2">
              <w:rPr>
                <w:rFonts w:ascii="Times New Roman" w:eastAsia="Times New Roman" w:hAnsi="Times New Roman" w:cs="Times New Roman"/>
                <w:b/>
                <w:bCs/>
                <w:sz w:val="20"/>
                <w:szCs w:val="20"/>
                <w:lang w:eastAsia="en-GB"/>
              </w:rPr>
              <w:t>-value</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Death Notification Form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840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0.61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0.589–0.641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roofErr w:type="spellStart"/>
            <w:r w:rsidRPr="006770C2">
              <w:rPr>
                <w:rFonts w:ascii="Times New Roman" w:eastAsia="Times New Roman" w:hAnsi="Times New Roman" w:cs="Times New Roman"/>
                <w:sz w:val="20"/>
                <w:szCs w:val="20"/>
                <w:lang w:eastAsia="en-GB"/>
              </w:rPr>
              <w:t>SmartVA</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1021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0.75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0.724–0.771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&lt;  0.05</w:t>
            </w:r>
          </w:p>
        </w:tc>
      </w:tr>
    </w:tbl>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4</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lastRenderedPageBreak/>
        <w:t xml:space="preserve">The number of undetermined cases among the brought-in-dead adult cases and the concordance rate of </w:t>
      </w:r>
      <w:proofErr w:type="spellStart"/>
      <w:r w:rsidRPr="006770C2">
        <w:rPr>
          <w:rFonts w:ascii="Times New Roman" w:eastAsia="Times New Roman" w:hAnsi="Times New Roman" w:cs="Times New Roman"/>
          <w:color w:val="000000"/>
          <w:sz w:val="25"/>
          <w:szCs w:val="25"/>
          <w:lang w:eastAsia="en-GB"/>
        </w:rPr>
        <w:t>CoDs</w:t>
      </w:r>
      <w:proofErr w:type="spellEnd"/>
      <w:r w:rsidRPr="006770C2">
        <w:rPr>
          <w:rFonts w:ascii="Times New Roman" w:eastAsia="Times New Roman" w:hAnsi="Times New Roman" w:cs="Times New Roman"/>
          <w:color w:val="000000"/>
          <w:sz w:val="25"/>
          <w:szCs w:val="25"/>
          <w:lang w:eastAsia="en-GB"/>
        </w:rPr>
        <w:t xml:space="preserve"> among the cases with determined </w:t>
      </w:r>
      <w:proofErr w:type="spellStart"/>
      <w:r w:rsidRPr="006770C2">
        <w:rPr>
          <w:rFonts w:ascii="Times New Roman" w:eastAsia="Times New Roman" w:hAnsi="Times New Roman" w:cs="Times New Roman"/>
          <w:color w:val="000000"/>
          <w:sz w:val="25"/>
          <w:szCs w:val="25"/>
          <w:lang w:eastAsia="en-GB"/>
        </w:rPr>
        <w:t>CoDs</w:t>
      </w:r>
      <w:proofErr w:type="spellEnd"/>
      <w:r w:rsidRPr="006770C2">
        <w:rPr>
          <w:rFonts w:ascii="Times New Roman" w:eastAsia="Times New Roman" w:hAnsi="Times New Roman" w:cs="Times New Roman"/>
          <w:color w:val="000000"/>
          <w:sz w:val="25"/>
          <w:szCs w:val="25"/>
          <w:lang w:eastAsia="en-GB"/>
        </w:rPr>
        <w:t xml:space="preserve"> by both of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in the University Teaching Hospital</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3570"/>
        <w:gridCol w:w="449"/>
        <w:gridCol w:w="1129"/>
        <w:gridCol w:w="1419"/>
      </w:tblGrid>
      <w:tr w:rsidR="006770C2" w:rsidRPr="006770C2" w:rsidTr="006770C2">
        <w:trPr>
          <w:tblHeader/>
        </w:trPr>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Number</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Percentage</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Both 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191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14.0%</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 only by Death Notification Form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335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24.5%</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xml:space="preserve">Undetermined only by </w:t>
            </w:r>
            <w:proofErr w:type="spellStart"/>
            <w:r w:rsidRPr="006770C2">
              <w:rPr>
                <w:rFonts w:ascii="Times New Roman" w:eastAsia="Times New Roman" w:hAnsi="Times New Roman" w:cs="Times New Roman"/>
                <w:sz w:val="20"/>
                <w:szCs w:val="20"/>
                <w:lang w:eastAsia="en-GB"/>
              </w:rPr>
              <w:t>SmartVA</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154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11.3%</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Both 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686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50.2%</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 xml:space="preserve">Matched </w:t>
            </w:r>
            <w:proofErr w:type="spellStart"/>
            <w:r w:rsidRPr="006770C2">
              <w:rPr>
                <w:rFonts w:ascii="Times New Roman" w:eastAsia="Times New Roman" w:hAnsi="Times New Roman" w:cs="Times New Roman"/>
                <w:sz w:val="20"/>
                <w:szCs w:val="20"/>
                <w:lang w:eastAsia="en-GB"/>
              </w:rPr>
              <w:t>CoDs</w:t>
            </w:r>
            <w:proofErr w:type="spellEnd"/>
            <w:r w:rsidRPr="006770C2">
              <w:rPr>
                <w:rFonts w:ascii="Times New Roman" w:eastAsia="Times New Roman" w:hAnsi="Times New Roman" w:cs="Times New Roman"/>
                <w:sz w:val="20"/>
                <w:szCs w:val="20"/>
                <w:lang w:eastAsia="en-GB"/>
              </w:rPr>
              <w:t xml:space="preserve"> between both methods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297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43.3%</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 xml:space="preserve">Unmatched </w:t>
            </w:r>
            <w:proofErr w:type="spellStart"/>
            <w:r w:rsidRPr="006770C2">
              <w:rPr>
                <w:rFonts w:ascii="Times New Roman" w:eastAsia="Times New Roman" w:hAnsi="Times New Roman" w:cs="Times New Roman"/>
                <w:sz w:val="20"/>
                <w:szCs w:val="20"/>
                <w:lang w:eastAsia="en-GB"/>
              </w:rPr>
              <w:t>CoDs</w:t>
            </w:r>
            <w:proofErr w:type="spellEnd"/>
            <w:r w:rsidRPr="006770C2">
              <w:rPr>
                <w:rFonts w:ascii="Times New Roman" w:eastAsia="Times New Roman" w:hAnsi="Times New Roman" w:cs="Times New Roman"/>
                <w:sz w:val="20"/>
                <w:szCs w:val="20"/>
                <w:lang w:eastAsia="en-GB"/>
              </w:rPr>
              <w:t xml:space="preserve"> between both methods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389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56.7%</w:t>
            </w:r>
          </w:p>
        </w:tc>
      </w:tr>
      <w:tr w:rsidR="006770C2" w:rsidRPr="006770C2" w:rsidTr="006770C2">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Kappa coefficient</w:t>
            </w:r>
          </w:p>
        </w:tc>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both"/>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0.083 (95% CI: 0.069–0.086)</w:t>
            </w:r>
          </w:p>
        </w:tc>
      </w:tr>
    </w:tbl>
    <w:p w:rsidR="006770C2" w:rsidRPr="006770C2" w:rsidRDefault="006770C2" w:rsidP="006770C2">
      <w:pPr>
        <w:shd w:val="clear" w:color="auto" w:fill="FFFCF0"/>
        <w:spacing w:line="240" w:lineRule="auto"/>
        <w:rPr>
          <w:rFonts w:ascii="Times New Roman" w:eastAsia="Times New Roman" w:hAnsi="Times New Roman" w:cs="Times New Roman"/>
          <w:color w:val="000000"/>
          <w:sz w:val="21"/>
          <w:szCs w:val="21"/>
          <w:lang w:eastAsia="en-GB"/>
        </w:rPr>
      </w:pPr>
      <w:r w:rsidRPr="006770C2">
        <w:rPr>
          <w:rFonts w:ascii="Times New Roman" w:eastAsia="Times New Roman" w:hAnsi="Times New Roman" w:cs="Times New Roman"/>
          <w:color w:val="000000"/>
          <w:sz w:val="21"/>
          <w:szCs w:val="21"/>
          <w:lang w:eastAsia="en-GB"/>
        </w:rPr>
        <w:t>NB: </w:t>
      </w:r>
      <w:proofErr w:type="spellStart"/>
      <w:r w:rsidRPr="006770C2">
        <w:rPr>
          <w:rFonts w:ascii="Times New Roman" w:eastAsia="Times New Roman" w:hAnsi="Times New Roman" w:cs="Times New Roman"/>
          <w:i/>
          <w:iCs/>
          <w:color w:val="000000"/>
          <w:sz w:val="21"/>
          <w:lang w:eastAsia="en-GB"/>
        </w:rPr>
        <w:t>CoDs</w:t>
      </w:r>
      <w:proofErr w:type="spellEnd"/>
      <w:r w:rsidRPr="006770C2">
        <w:rPr>
          <w:rFonts w:ascii="Times New Roman" w:eastAsia="Times New Roman" w:hAnsi="Times New Roman" w:cs="Times New Roman"/>
          <w:color w:val="000000"/>
          <w:sz w:val="21"/>
          <w:szCs w:val="21"/>
          <w:lang w:eastAsia="en-GB"/>
        </w:rPr>
        <w:t> cause of deaths</w:t>
      </w:r>
    </w:p>
    <w:p w:rsidR="006770C2" w:rsidRPr="006770C2" w:rsidRDefault="006770C2" w:rsidP="006770C2">
      <w:pPr>
        <w:shd w:val="clear" w:color="auto" w:fill="FFFFFF"/>
        <w:spacing w:before="166" w:after="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Additional file </w:t>
      </w:r>
      <w:hyperlink r:id="rId13" w:anchor="MOESM1" w:history="1">
        <w:r w:rsidRPr="006770C2">
          <w:rPr>
            <w:rFonts w:ascii="Times New Roman" w:eastAsia="Times New Roman" w:hAnsi="Times New Roman" w:cs="Times New Roman"/>
            <w:color w:val="642A8F"/>
            <w:sz w:val="25"/>
            <w:u w:val="single"/>
            <w:lang w:eastAsia="en-GB"/>
          </w:rPr>
          <w:t>1</w:t>
        </w:r>
      </w:hyperlink>
      <w:r w:rsidRPr="006770C2">
        <w:rPr>
          <w:rFonts w:ascii="Times New Roman" w:eastAsia="Times New Roman" w:hAnsi="Times New Roman" w:cs="Times New Roman"/>
          <w:color w:val="000000"/>
          <w:sz w:val="25"/>
          <w:szCs w:val="25"/>
          <w:lang w:eastAsia="en-GB"/>
        </w:rPr>
        <w:t xml:space="preserve"> shows the distribution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among the adult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according to the four age categories: 13–19 years, 20–44 years, 45–59 years, and 60 years and above. The proportion of undetermined cases was largest among people aged 13–19 years according to the death notification form (51.3%) and smallest among those aged 45–59 years according to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(19.9%). Generally speaking, there was less malaria and more AIDS in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group, compared with the death notification form, in the distribution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and the older the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became, the higher the number of NCDs there were in the top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In addition, there were further differences between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according to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For example,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identified more suicide cases among the younger population and more neurological conditions (stroke or epilepsy) and DM cases in all generations. Indeed, the concordance </w:t>
      </w:r>
      <w:r w:rsidRPr="006770C2">
        <w:rPr>
          <w:rFonts w:ascii="Times New Roman" w:eastAsia="Times New Roman" w:hAnsi="Times New Roman" w:cs="Times New Roman"/>
          <w:color w:val="000000"/>
          <w:sz w:val="25"/>
          <w:szCs w:val="25"/>
          <w:lang w:eastAsia="en-GB"/>
        </w:rPr>
        <w:lastRenderedPageBreak/>
        <w:t xml:space="preserve">rates between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were weak among all of the age categories in terms of the kappa coefficient, whereas this coefficient was higher in the middle-aged categories (20–59 years) than in people aged 13–19 years and 60 years and above.</w:t>
      </w:r>
    </w:p>
    <w:p w:rsidR="006770C2" w:rsidRPr="006770C2" w:rsidRDefault="006770C2" w:rsidP="006770C2">
      <w:pPr>
        <w:shd w:val="clear" w:color="auto" w:fill="FFFFFF"/>
        <w:spacing w:before="308"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 xml:space="preserve">The </w:t>
      </w:r>
      <w:proofErr w:type="spellStart"/>
      <w:r w:rsidRPr="006770C2">
        <w:rPr>
          <w:rFonts w:ascii="Arial" w:eastAsia="Times New Roman" w:hAnsi="Arial" w:cs="Arial"/>
          <w:color w:val="724128"/>
          <w:sz w:val="25"/>
          <w:szCs w:val="25"/>
          <w:lang w:eastAsia="en-GB"/>
        </w:rPr>
        <w:t>CoD</w:t>
      </w:r>
      <w:proofErr w:type="spellEnd"/>
      <w:r w:rsidRPr="006770C2">
        <w:rPr>
          <w:rFonts w:ascii="Arial" w:eastAsia="Times New Roman" w:hAnsi="Arial" w:cs="Arial"/>
          <w:color w:val="724128"/>
          <w:sz w:val="25"/>
          <w:szCs w:val="25"/>
          <w:lang w:eastAsia="en-GB"/>
        </w:rPr>
        <w:t xml:space="preserve"> among the child </w:t>
      </w:r>
      <w:proofErr w:type="spellStart"/>
      <w:r w:rsidRPr="006770C2">
        <w:rPr>
          <w:rFonts w:ascii="Arial" w:eastAsia="Times New Roman" w:hAnsi="Arial" w:cs="Arial"/>
          <w:color w:val="724128"/>
          <w:sz w:val="25"/>
          <w:szCs w:val="25"/>
          <w:lang w:eastAsia="en-GB"/>
        </w:rPr>
        <w:t>BiD</w:t>
      </w:r>
      <w:proofErr w:type="spellEnd"/>
      <w:r w:rsidRPr="006770C2">
        <w:rPr>
          <w:rFonts w:ascii="Arial" w:eastAsia="Times New Roman" w:hAnsi="Arial" w:cs="Arial"/>
          <w:color w:val="724128"/>
          <w:sz w:val="25"/>
          <w:szCs w:val="25"/>
          <w:lang w:eastAsia="en-GB"/>
        </w:rPr>
        <w:t xml:space="preserve"> cases aged 1 month to 13 years</w:t>
      </w:r>
    </w:p>
    <w:p w:rsidR="006770C2" w:rsidRPr="006770C2" w:rsidRDefault="006770C2" w:rsidP="006770C2">
      <w:pPr>
        <w:shd w:val="clear" w:color="auto" w:fill="FFFFFF"/>
        <w:spacing w:before="166" w:after="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Table </w:t>
      </w:r>
      <w:hyperlink r:id="rId14" w:tgtFrame="table" w:history="1">
        <w:r w:rsidRPr="006770C2">
          <w:rPr>
            <w:rFonts w:ascii="Times New Roman" w:eastAsia="Times New Roman" w:hAnsi="Times New Roman" w:cs="Times New Roman"/>
            <w:color w:val="642A8F"/>
            <w:sz w:val="25"/>
            <w:u w:val="single"/>
            <w:lang w:eastAsia="en-GB"/>
          </w:rPr>
          <w:t>5</w:t>
        </w:r>
      </w:hyperlink>
      <w:r w:rsidRPr="006770C2">
        <w:rPr>
          <w:rFonts w:ascii="Times New Roman" w:eastAsia="Times New Roman" w:hAnsi="Times New Roman" w:cs="Times New Roman"/>
          <w:color w:val="000000"/>
          <w:sz w:val="25"/>
          <w:szCs w:val="25"/>
          <w:lang w:eastAsia="en-GB"/>
        </w:rPr>
        <w:t xml:space="preserve"> describes the top 10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among the adult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according to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Among 205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in the UTH from May to August 2017, the top 10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calculated by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were, in order, pneumonia, </w:t>
      </w:r>
      <w:proofErr w:type="spellStart"/>
      <w:r w:rsidRPr="006770C2">
        <w:rPr>
          <w:rFonts w:ascii="Times New Roman" w:eastAsia="Times New Roman" w:hAnsi="Times New Roman" w:cs="Times New Roman"/>
          <w:color w:val="000000"/>
          <w:sz w:val="25"/>
          <w:szCs w:val="25"/>
          <w:lang w:eastAsia="en-GB"/>
        </w:rPr>
        <w:t>diarrhea</w:t>
      </w:r>
      <w:proofErr w:type="spellEnd"/>
      <w:r w:rsidRPr="006770C2">
        <w:rPr>
          <w:rFonts w:ascii="Times New Roman" w:eastAsia="Times New Roman" w:hAnsi="Times New Roman" w:cs="Times New Roman"/>
          <w:color w:val="000000"/>
          <w:sz w:val="25"/>
          <w:szCs w:val="25"/>
          <w:lang w:eastAsia="en-GB"/>
        </w:rPr>
        <w:t xml:space="preserve">/dysentery, human immunodeficiency virus (HIV)/AIDS, malaria, fires, drowning, other CVDs, meningitis, other defined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and road traffic accident (RTA). Furthermore, infectious diseases, such as pneumonia, </w:t>
      </w:r>
      <w:proofErr w:type="spellStart"/>
      <w:r w:rsidRPr="006770C2">
        <w:rPr>
          <w:rFonts w:ascii="Times New Roman" w:eastAsia="Times New Roman" w:hAnsi="Times New Roman" w:cs="Times New Roman"/>
          <w:color w:val="000000"/>
          <w:sz w:val="25"/>
          <w:szCs w:val="25"/>
          <w:lang w:eastAsia="en-GB"/>
        </w:rPr>
        <w:t>diarrhea</w:t>
      </w:r>
      <w:proofErr w:type="spellEnd"/>
      <w:r w:rsidRPr="006770C2">
        <w:rPr>
          <w:rFonts w:ascii="Times New Roman" w:eastAsia="Times New Roman" w:hAnsi="Times New Roman" w:cs="Times New Roman"/>
          <w:color w:val="000000"/>
          <w:sz w:val="25"/>
          <w:szCs w:val="25"/>
          <w:lang w:eastAsia="en-GB"/>
        </w:rPr>
        <w:t xml:space="preserve">/dysentery, and HIV/AIDS occupied the highest ranks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followed by accidents, such as fire, drowning, and RTA. While the distribution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according to the death notification form was similar to that of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there were fewer HIV/AIDS cases on the death notification form and more epilepsy cases than meningitis cases. Table </w:t>
      </w:r>
      <w:hyperlink r:id="rId15" w:tgtFrame="table" w:history="1">
        <w:r w:rsidRPr="006770C2">
          <w:rPr>
            <w:rFonts w:ascii="Times New Roman" w:eastAsia="Times New Roman" w:hAnsi="Times New Roman" w:cs="Times New Roman"/>
            <w:color w:val="642A8F"/>
            <w:sz w:val="25"/>
            <w:u w:val="single"/>
            <w:lang w:eastAsia="en-GB"/>
          </w:rPr>
          <w:t>6</w:t>
        </w:r>
      </w:hyperlink>
      <w:r w:rsidRPr="006770C2">
        <w:rPr>
          <w:rFonts w:ascii="Times New Roman" w:eastAsia="Times New Roman" w:hAnsi="Times New Roman" w:cs="Times New Roman"/>
          <w:color w:val="000000"/>
          <w:sz w:val="25"/>
          <w:szCs w:val="25"/>
          <w:lang w:eastAsia="en-GB"/>
        </w:rPr>
        <w:t xml:space="preserve"> shows how many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of the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were determined by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 The proportion of the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whose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were determined was 46% for the death notification form and 67% for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The statistical analysis indicated that the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significantly improved the determination rate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compared with the death notification form. Table </w:t>
      </w:r>
      <w:hyperlink r:id="rId16" w:tgtFrame="table" w:history="1">
        <w:r w:rsidRPr="006770C2">
          <w:rPr>
            <w:rFonts w:ascii="Times New Roman" w:eastAsia="Times New Roman" w:hAnsi="Times New Roman" w:cs="Times New Roman"/>
            <w:color w:val="642A8F"/>
            <w:sz w:val="25"/>
            <w:u w:val="single"/>
            <w:lang w:eastAsia="en-GB"/>
          </w:rPr>
          <w:t>7</w:t>
        </w:r>
      </w:hyperlink>
      <w:r w:rsidRPr="006770C2">
        <w:rPr>
          <w:rFonts w:ascii="Times New Roman" w:eastAsia="Times New Roman" w:hAnsi="Times New Roman" w:cs="Times New Roman"/>
          <w:color w:val="000000"/>
          <w:sz w:val="25"/>
          <w:szCs w:val="25"/>
          <w:lang w:eastAsia="en-GB"/>
        </w:rPr>
        <w:t xml:space="preserve"> presents the number of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whose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were not determined by the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The proportion of </w:t>
      </w:r>
      <w:proofErr w:type="spellStart"/>
      <w:r w:rsidRPr="006770C2">
        <w:rPr>
          <w:rFonts w:ascii="Times New Roman" w:eastAsia="Times New Roman" w:hAnsi="Times New Roman" w:cs="Times New Roman"/>
          <w:color w:val="000000"/>
          <w:sz w:val="25"/>
          <w:szCs w:val="25"/>
          <w:lang w:eastAsia="en-GB"/>
        </w:rPr>
        <w:t>BiD</w:t>
      </w:r>
      <w:proofErr w:type="spellEnd"/>
      <w:r w:rsidRPr="006770C2">
        <w:rPr>
          <w:rFonts w:ascii="Times New Roman" w:eastAsia="Times New Roman" w:hAnsi="Times New Roman" w:cs="Times New Roman"/>
          <w:color w:val="000000"/>
          <w:sz w:val="25"/>
          <w:szCs w:val="25"/>
          <w:lang w:eastAsia="en-GB"/>
        </w:rPr>
        <w:t xml:space="preserve"> cases with determined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for both methods was 77 (37.6%). Regarding these cases, Table </w:t>
      </w:r>
      <w:hyperlink r:id="rId17" w:tgtFrame="table" w:history="1">
        <w:r w:rsidRPr="006770C2">
          <w:rPr>
            <w:rFonts w:ascii="Times New Roman" w:eastAsia="Times New Roman" w:hAnsi="Times New Roman" w:cs="Times New Roman"/>
            <w:color w:val="642A8F"/>
            <w:sz w:val="25"/>
            <w:u w:val="single"/>
            <w:lang w:eastAsia="en-GB"/>
          </w:rPr>
          <w:t>7</w:t>
        </w:r>
      </w:hyperlink>
      <w:r w:rsidRPr="006770C2">
        <w:rPr>
          <w:rFonts w:ascii="Times New Roman" w:eastAsia="Times New Roman" w:hAnsi="Times New Roman" w:cs="Times New Roman"/>
          <w:color w:val="000000"/>
          <w:sz w:val="25"/>
          <w:szCs w:val="25"/>
          <w:lang w:eastAsia="en-GB"/>
        </w:rPr>
        <w:t xml:space="preserve"> shows that 68.8% of the </w:t>
      </w:r>
      <w:proofErr w:type="spellStart"/>
      <w:r w:rsidRPr="006770C2">
        <w:rPr>
          <w:rFonts w:ascii="Times New Roman" w:eastAsia="Times New Roman" w:hAnsi="Times New Roman" w:cs="Times New Roman"/>
          <w:color w:val="000000"/>
          <w:sz w:val="25"/>
          <w:szCs w:val="25"/>
          <w:lang w:eastAsia="en-GB"/>
        </w:rPr>
        <w:t>CoD</w:t>
      </w:r>
      <w:proofErr w:type="spellEnd"/>
      <w:r w:rsidRPr="006770C2">
        <w:rPr>
          <w:rFonts w:ascii="Times New Roman" w:eastAsia="Times New Roman" w:hAnsi="Times New Roman" w:cs="Times New Roman"/>
          <w:color w:val="000000"/>
          <w:sz w:val="25"/>
          <w:szCs w:val="25"/>
          <w:lang w:eastAsia="en-GB"/>
        </w:rPr>
        <w:t xml:space="preserve"> were matched between the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the concordance rate was substantial in terms of the kappa coefficient (0.635, 95% CI: 0.548–0.740).</w:t>
      </w:r>
    </w:p>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5</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 xml:space="preserve">Top 10 Causes of deaths among the brought-in-dead child cases in the University Teaching Hospital during research period by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and Death Notification Form</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659"/>
        <w:gridCol w:w="1770"/>
        <w:gridCol w:w="487"/>
        <w:gridCol w:w="709"/>
        <w:gridCol w:w="659"/>
        <w:gridCol w:w="1770"/>
        <w:gridCol w:w="492"/>
        <w:gridCol w:w="709"/>
      </w:tblGrid>
      <w:tr w:rsidR="006770C2" w:rsidRPr="006770C2" w:rsidTr="006770C2">
        <w:trPr>
          <w:tblHeader/>
        </w:trPr>
        <w:tc>
          <w:tcPr>
            <w:tcW w:w="0" w:type="auto"/>
            <w:gridSpan w:val="4"/>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roofErr w:type="spellStart"/>
            <w:r w:rsidRPr="006770C2">
              <w:rPr>
                <w:rFonts w:ascii="Times New Roman" w:eastAsia="Times New Roman" w:hAnsi="Times New Roman" w:cs="Times New Roman"/>
                <w:b/>
                <w:bCs/>
                <w:sz w:val="20"/>
                <w:szCs w:val="20"/>
                <w:lang w:eastAsia="en-GB"/>
              </w:rPr>
              <w:t>SmartVA</w:t>
            </w:r>
            <w:proofErr w:type="spellEnd"/>
            <w:r w:rsidRPr="006770C2">
              <w:rPr>
                <w:rFonts w:ascii="Times New Roman" w:eastAsia="Times New Roman" w:hAnsi="Times New Roman" w:cs="Times New Roman"/>
                <w:b/>
                <w:bCs/>
                <w:sz w:val="20"/>
                <w:szCs w:val="20"/>
                <w:lang w:eastAsia="en-GB"/>
              </w:rPr>
              <w:t xml:space="preserve"> (</w:t>
            </w:r>
            <w:r w:rsidRPr="006770C2">
              <w:rPr>
                <w:rFonts w:ascii="Times New Roman" w:eastAsia="Times New Roman" w:hAnsi="Times New Roman" w:cs="Times New Roman"/>
                <w:b/>
                <w:bCs/>
                <w:i/>
                <w:iCs/>
                <w:sz w:val="20"/>
                <w:lang w:eastAsia="en-GB"/>
              </w:rPr>
              <w:t>N</w:t>
            </w:r>
            <w:r w:rsidRPr="006770C2">
              <w:rPr>
                <w:rFonts w:ascii="Times New Roman" w:eastAsia="Times New Roman" w:hAnsi="Times New Roman" w:cs="Times New Roman"/>
                <w:b/>
                <w:bCs/>
                <w:sz w:val="20"/>
                <w:szCs w:val="20"/>
                <w:lang w:eastAsia="en-GB"/>
              </w:rPr>
              <w:t> = 205)</w:t>
            </w:r>
          </w:p>
        </w:tc>
        <w:tc>
          <w:tcPr>
            <w:tcW w:w="0" w:type="auto"/>
            <w:gridSpan w:val="4"/>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Death Notification Form (N = 205)</w:t>
            </w:r>
          </w:p>
        </w:tc>
      </w:tr>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Rank</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Cause of Death</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No.</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Rank</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Cause of Death</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No.</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33.2%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111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54.1%</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Pneumonia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17.6%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roofErr w:type="spellStart"/>
            <w:r w:rsidRPr="006770C2">
              <w:rPr>
                <w:rFonts w:ascii="Times New Roman" w:eastAsia="Times New Roman" w:hAnsi="Times New Roman" w:cs="Times New Roman"/>
                <w:sz w:val="20"/>
                <w:szCs w:val="20"/>
                <w:lang w:eastAsia="en-GB"/>
              </w:rPr>
              <w:t>Diarrhea</w:t>
            </w:r>
            <w:proofErr w:type="spellEnd"/>
            <w:r w:rsidRPr="006770C2">
              <w:rPr>
                <w:rFonts w:ascii="Times New Roman" w:eastAsia="Times New Roman" w:hAnsi="Times New Roman" w:cs="Times New Roman"/>
                <w:sz w:val="20"/>
                <w:szCs w:val="20"/>
                <w:lang w:eastAsia="en-GB"/>
              </w:rPr>
              <w:t>/Dysentery</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8.8%</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lastRenderedPageBreak/>
              <w:t>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roofErr w:type="spellStart"/>
            <w:r w:rsidRPr="006770C2">
              <w:rPr>
                <w:rFonts w:ascii="Times New Roman" w:eastAsia="Times New Roman" w:hAnsi="Times New Roman" w:cs="Times New Roman"/>
                <w:sz w:val="20"/>
                <w:szCs w:val="20"/>
                <w:lang w:eastAsia="en-GB"/>
              </w:rPr>
              <w:t>Diarrhea</w:t>
            </w:r>
            <w:proofErr w:type="spellEnd"/>
            <w:r w:rsidRPr="006770C2">
              <w:rPr>
                <w:rFonts w:ascii="Times New Roman" w:eastAsia="Times New Roman" w:hAnsi="Times New Roman" w:cs="Times New Roman"/>
                <w:sz w:val="20"/>
                <w:szCs w:val="20"/>
                <w:lang w:eastAsia="en-GB"/>
              </w:rPr>
              <w:t>/Dysentery</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15.6%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xml:space="preserve">Other Defined </w:t>
            </w:r>
            <w:proofErr w:type="spellStart"/>
            <w:r w:rsidRPr="006770C2">
              <w:rPr>
                <w:rFonts w:ascii="Times New Roman" w:eastAsia="Times New Roman" w:hAnsi="Times New Roman" w:cs="Times New Roman"/>
                <w:sz w:val="20"/>
                <w:szCs w:val="20"/>
                <w:lang w:eastAsia="en-GB"/>
              </w:rPr>
              <w:t>CoD</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6.8%</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HIV/AIDS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12.2%</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Pneumonia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4.9%</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Malaria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Malaria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Fires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RTA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Drowning</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Drowning</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CVDs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Fires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2.9%</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Meningitis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8</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CVDs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2.9%</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xml:space="preserve">Other Defined </w:t>
            </w:r>
            <w:proofErr w:type="spellStart"/>
            <w:r w:rsidRPr="006770C2">
              <w:rPr>
                <w:rFonts w:ascii="Times New Roman" w:eastAsia="Times New Roman" w:hAnsi="Times New Roman" w:cs="Times New Roman"/>
                <w:sz w:val="20"/>
                <w:szCs w:val="20"/>
                <w:lang w:eastAsia="en-GB"/>
              </w:rPr>
              <w:t>CoD</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Epilepsy</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RTA</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Other Cancers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r>
    </w:tbl>
    <w:p w:rsidR="006770C2" w:rsidRPr="006770C2" w:rsidRDefault="006770C2" w:rsidP="006770C2">
      <w:pPr>
        <w:shd w:val="clear" w:color="auto" w:fill="FFFCF0"/>
        <w:spacing w:line="240" w:lineRule="auto"/>
        <w:rPr>
          <w:rFonts w:ascii="Times New Roman" w:eastAsia="Times New Roman" w:hAnsi="Times New Roman" w:cs="Times New Roman"/>
          <w:color w:val="000000"/>
          <w:sz w:val="21"/>
          <w:szCs w:val="21"/>
          <w:lang w:eastAsia="en-GB"/>
        </w:rPr>
      </w:pPr>
      <w:r w:rsidRPr="006770C2">
        <w:rPr>
          <w:rFonts w:ascii="Times New Roman" w:eastAsia="Times New Roman" w:hAnsi="Times New Roman" w:cs="Times New Roman"/>
          <w:color w:val="000000"/>
          <w:sz w:val="21"/>
          <w:szCs w:val="21"/>
          <w:lang w:eastAsia="en-GB"/>
        </w:rPr>
        <w:t>NB: </w:t>
      </w:r>
      <w:r w:rsidRPr="006770C2">
        <w:rPr>
          <w:rFonts w:ascii="Times New Roman" w:eastAsia="Times New Roman" w:hAnsi="Times New Roman" w:cs="Times New Roman"/>
          <w:i/>
          <w:iCs/>
          <w:color w:val="000000"/>
          <w:sz w:val="21"/>
          <w:lang w:eastAsia="en-GB"/>
        </w:rPr>
        <w:t>CVDs</w:t>
      </w:r>
      <w:r w:rsidRPr="006770C2">
        <w:rPr>
          <w:rFonts w:ascii="Times New Roman" w:eastAsia="Times New Roman" w:hAnsi="Times New Roman" w:cs="Times New Roman"/>
          <w:color w:val="000000"/>
          <w:sz w:val="21"/>
          <w:szCs w:val="21"/>
          <w:lang w:eastAsia="en-GB"/>
        </w:rPr>
        <w:t> cardiovascular diseases, </w:t>
      </w:r>
      <w:r w:rsidRPr="006770C2">
        <w:rPr>
          <w:rFonts w:ascii="Times New Roman" w:eastAsia="Times New Roman" w:hAnsi="Times New Roman" w:cs="Times New Roman"/>
          <w:i/>
          <w:iCs/>
          <w:color w:val="000000"/>
          <w:sz w:val="21"/>
          <w:lang w:eastAsia="en-GB"/>
        </w:rPr>
        <w:t>RTA</w:t>
      </w:r>
      <w:r w:rsidRPr="006770C2">
        <w:rPr>
          <w:rFonts w:ascii="Times New Roman" w:eastAsia="Times New Roman" w:hAnsi="Times New Roman" w:cs="Times New Roman"/>
          <w:color w:val="000000"/>
          <w:sz w:val="21"/>
          <w:szCs w:val="21"/>
          <w:lang w:eastAsia="en-GB"/>
        </w:rPr>
        <w:t> road traffic accident</w:t>
      </w:r>
    </w:p>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6</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lastRenderedPageBreak/>
        <w:t xml:space="preserve">Number of the brought-in-dead child cases with determined causes of death by both of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in the University Teaching Hospital</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2170"/>
        <w:gridCol w:w="3303"/>
        <w:gridCol w:w="681"/>
        <w:gridCol w:w="1192"/>
        <w:gridCol w:w="837"/>
      </w:tblGrid>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 xml:space="preserve">No. of Cases With Determined </w:t>
            </w:r>
            <w:proofErr w:type="spellStart"/>
            <w:r w:rsidRPr="006770C2">
              <w:rPr>
                <w:rFonts w:ascii="Times New Roman" w:eastAsia="Times New Roman" w:hAnsi="Times New Roman" w:cs="Times New Roman"/>
                <w:b/>
                <w:bCs/>
                <w:sz w:val="20"/>
                <w:szCs w:val="20"/>
                <w:lang w:eastAsia="en-GB"/>
              </w:rPr>
              <w:t>CoDs</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Mean</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95% CI</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i/>
                <w:iCs/>
                <w:sz w:val="20"/>
                <w:lang w:eastAsia="en-GB"/>
              </w:rPr>
              <w:t>P</w:t>
            </w:r>
            <w:r w:rsidRPr="006770C2">
              <w:rPr>
                <w:rFonts w:ascii="Times New Roman" w:eastAsia="Times New Roman" w:hAnsi="Times New Roman" w:cs="Times New Roman"/>
                <w:b/>
                <w:bCs/>
                <w:sz w:val="20"/>
                <w:szCs w:val="20"/>
                <w:lang w:eastAsia="en-GB"/>
              </w:rPr>
              <w:t>-value</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Death Notification Form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94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0.46</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0.390–0.527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proofErr w:type="spellStart"/>
            <w:r w:rsidRPr="006770C2">
              <w:rPr>
                <w:rFonts w:ascii="Times New Roman" w:eastAsia="Times New Roman" w:hAnsi="Times New Roman" w:cs="Times New Roman"/>
                <w:sz w:val="20"/>
                <w:szCs w:val="20"/>
                <w:lang w:eastAsia="en-GB"/>
              </w:rPr>
              <w:t>SmartVA</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137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0.67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0.603–0.733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&lt;  0.05</w:t>
            </w:r>
          </w:p>
        </w:tc>
      </w:tr>
    </w:tbl>
    <w:p w:rsidR="006770C2" w:rsidRPr="006770C2" w:rsidRDefault="006770C2" w:rsidP="006770C2">
      <w:pPr>
        <w:shd w:val="clear" w:color="auto" w:fill="FFFCF0"/>
        <w:spacing w:after="154" w:line="300" w:lineRule="atLeast"/>
        <w:outlineLvl w:val="2"/>
        <w:rPr>
          <w:rFonts w:ascii="Arial" w:eastAsia="Times New Roman" w:hAnsi="Arial" w:cs="Arial"/>
          <w:color w:val="724128"/>
          <w:sz w:val="25"/>
          <w:szCs w:val="25"/>
          <w:lang w:eastAsia="en-GB"/>
        </w:rPr>
      </w:pPr>
      <w:r w:rsidRPr="006770C2">
        <w:rPr>
          <w:rFonts w:ascii="Arial" w:eastAsia="Times New Roman" w:hAnsi="Arial" w:cs="Arial"/>
          <w:color w:val="724128"/>
          <w:sz w:val="25"/>
          <w:szCs w:val="25"/>
          <w:lang w:eastAsia="en-GB"/>
        </w:rPr>
        <w:t>Table 7</w:t>
      </w:r>
    </w:p>
    <w:p w:rsidR="006770C2" w:rsidRPr="006770C2" w:rsidRDefault="006770C2" w:rsidP="006770C2">
      <w:pPr>
        <w:shd w:val="clear" w:color="auto" w:fill="FFFCF0"/>
        <w:spacing w:before="166" w:line="240" w:lineRule="auto"/>
        <w:rPr>
          <w:rFonts w:ascii="Times New Roman" w:eastAsia="Times New Roman" w:hAnsi="Times New Roman" w:cs="Times New Roman"/>
          <w:color w:val="000000"/>
          <w:sz w:val="25"/>
          <w:szCs w:val="25"/>
          <w:lang w:eastAsia="en-GB"/>
        </w:rPr>
      </w:pPr>
      <w:r w:rsidRPr="006770C2">
        <w:rPr>
          <w:rFonts w:ascii="Times New Roman" w:eastAsia="Times New Roman" w:hAnsi="Times New Roman" w:cs="Times New Roman"/>
          <w:color w:val="000000"/>
          <w:sz w:val="25"/>
          <w:szCs w:val="25"/>
          <w:lang w:eastAsia="en-GB"/>
        </w:rPr>
        <w:t xml:space="preserve">The number of undetermined cases among the brought-in-dead child cases and the concordance rate of </w:t>
      </w:r>
      <w:proofErr w:type="spellStart"/>
      <w:r w:rsidRPr="006770C2">
        <w:rPr>
          <w:rFonts w:ascii="Times New Roman" w:eastAsia="Times New Roman" w:hAnsi="Times New Roman" w:cs="Times New Roman"/>
          <w:color w:val="000000"/>
          <w:sz w:val="25"/>
          <w:szCs w:val="25"/>
          <w:lang w:eastAsia="en-GB"/>
        </w:rPr>
        <w:t>CoDs</w:t>
      </w:r>
      <w:proofErr w:type="spellEnd"/>
      <w:r w:rsidRPr="006770C2">
        <w:rPr>
          <w:rFonts w:ascii="Times New Roman" w:eastAsia="Times New Roman" w:hAnsi="Times New Roman" w:cs="Times New Roman"/>
          <w:color w:val="000000"/>
          <w:sz w:val="25"/>
          <w:szCs w:val="25"/>
          <w:lang w:eastAsia="en-GB"/>
        </w:rPr>
        <w:t xml:space="preserve"> among the cases with determined </w:t>
      </w:r>
      <w:proofErr w:type="spellStart"/>
      <w:r w:rsidRPr="006770C2">
        <w:rPr>
          <w:rFonts w:ascii="Times New Roman" w:eastAsia="Times New Roman" w:hAnsi="Times New Roman" w:cs="Times New Roman"/>
          <w:color w:val="000000"/>
          <w:sz w:val="25"/>
          <w:szCs w:val="25"/>
          <w:lang w:eastAsia="en-GB"/>
        </w:rPr>
        <w:t>CoDs</w:t>
      </w:r>
      <w:proofErr w:type="spellEnd"/>
      <w:r w:rsidRPr="006770C2">
        <w:rPr>
          <w:rFonts w:ascii="Times New Roman" w:eastAsia="Times New Roman" w:hAnsi="Times New Roman" w:cs="Times New Roman"/>
          <w:color w:val="000000"/>
          <w:sz w:val="25"/>
          <w:szCs w:val="25"/>
          <w:lang w:eastAsia="en-GB"/>
        </w:rPr>
        <w:t xml:space="preserve"> by both of Death Notification Form and </w:t>
      </w:r>
      <w:proofErr w:type="spellStart"/>
      <w:r w:rsidRPr="006770C2">
        <w:rPr>
          <w:rFonts w:ascii="Times New Roman" w:eastAsia="Times New Roman" w:hAnsi="Times New Roman" w:cs="Times New Roman"/>
          <w:color w:val="000000"/>
          <w:sz w:val="25"/>
          <w:szCs w:val="25"/>
          <w:lang w:eastAsia="en-GB"/>
        </w:rPr>
        <w:t>SmartVA</w:t>
      </w:r>
      <w:proofErr w:type="spellEnd"/>
      <w:r w:rsidRPr="006770C2">
        <w:rPr>
          <w:rFonts w:ascii="Times New Roman" w:eastAsia="Times New Roman" w:hAnsi="Times New Roman" w:cs="Times New Roman"/>
          <w:color w:val="000000"/>
          <w:sz w:val="25"/>
          <w:szCs w:val="25"/>
          <w:lang w:eastAsia="en-GB"/>
        </w:rPr>
        <w:t xml:space="preserve"> in the University Teaching Hospital</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4019"/>
        <w:gridCol w:w="1129"/>
        <w:gridCol w:w="1419"/>
      </w:tblGrid>
      <w:tr w:rsidR="006770C2" w:rsidRPr="006770C2" w:rsidTr="006770C2">
        <w:trPr>
          <w:tblHeader/>
        </w:trPr>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Number</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center"/>
              <w:rPr>
                <w:rFonts w:ascii="Times New Roman" w:eastAsia="Times New Roman" w:hAnsi="Times New Roman" w:cs="Times New Roman"/>
                <w:b/>
                <w:bCs/>
                <w:sz w:val="20"/>
                <w:szCs w:val="20"/>
                <w:lang w:eastAsia="en-GB"/>
              </w:rPr>
            </w:pPr>
            <w:r w:rsidRPr="006770C2">
              <w:rPr>
                <w:rFonts w:ascii="Times New Roman" w:eastAsia="Times New Roman" w:hAnsi="Times New Roman" w:cs="Times New Roman"/>
                <w:b/>
                <w:bCs/>
                <w:sz w:val="20"/>
                <w:szCs w:val="20"/>
                <w:lang w:eastAsia="en-GB"/>
              </w:rPr>
              <w:t>Percentage</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Both Undetermined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51</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24.9%</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Undetermined only by Death Notification Form</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17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33.2%</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xml:space="preserve">Undetermined only by </w:t>
            </w:r>
            <w:proofErr w:type="spellStart"/>
            <w:r w:rsidRPr="006770C2">
              <w:rPr>
                <w:rFonts w:ascii="Times New Roman" w:eastAsia="Times New Roman" w:hAnsi="Times New Roman" w:cs="Times New Roman"/>
                <w:sz w:val="20"/>
                <w:szCs w:val="20"/>
                <w:lang w:eastAsia="en-GB"/>
              </w:rPr>
              <w:t>SmartVA</w:t>
            </w:r>
            <w:proofErr w:type="spellEnd"/>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60</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62.4%</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Both Determined</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77</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37.6%</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 xml:space="preserve">Matched </w:t>
            </w:r>
            <w:proofErr w:type="spellStart"/>
            <w:r w:rsidRPr="006770C2">
              <w:rPr>
                <w:rFonts w:ascii="Times New Roman" w:eastAsia="Times New Roman" w:hAnsi="Times New Roman" w:cs="Times New Roman"/>
                <w:sz w:val="20"/>
                <w:szCs w:val="20"/>
                <w:lang w:eastAsia="en-GB"/>
              </w:rPr>
              <w:t>CoDs</w:t>
            </w:r>
            <w:proofErr w:type="spellEnd"/>
            <w:r w:rsidRPr="006770C2">
              <w:rPr>
                <w:rFonts w:ascii="Times New Roman" w:eastAsia="Times New Roman" w:hAnsi="Times New Roman" w:cs="Times New Roman"/>
                <w:sz w:val="20"/>
                <w:szCs w:val="20"/>
                <w:lang w:eastAsia="en-GB"/>
              </w:rPr>
              <w:t xml:space="preserve"> between both methods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53</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68.8%</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 </w:t>
            </w:r>
            <w:r w:rsidRPr="006770C2">
              <w:rPr>
                <w:rFonts w:ascii="Times New Roman" w:eastAsia="Times New Roman" w:hAnsi="Times New Roman" w:cs="Times New Roman"/>
                <w:sz w:val="20"/>
                <w:szCs w:val="20"/>
                <w:lang w:eastAsia="en-GB"/>
              </w:rPr>
              <w:t xml:space="preserve">Unmatched </w:t>
            </w:r>
            <w:proofErr w:type="spellStart"/>
            <w:r w:rsidRPr="006770C2">
              <w:rPr>
                <w:rFonts w:ascii="Times New Roman" w:eastAsia="Times New Roman" w:hAnsi="Times New Roman" w:cs="Times New Roman"/>
                <w:sz w:val="20"/>
                <w:szCs w:val="20"/>
                <w:lang w:eastAsia="en-GB"/>
              </w:rPr>
              <w:t>CoDs</w:t>
            </w:r>
            <w:proofErr w:type="spellEnd"/>
            <w:r w:rsidRPr="006770C2">
              <w:rPr>
                <w:rFonts w:ascii="Times New Roman" w:eastAsia="Times New Roman" w:hAnsi="Times New Roman" w:cs="Times New Roman"/>
                <w:sz w:val="20"/>
                <w:szCs w:val="20"/>
                <w:lang w:eastAsia="en-GB"/>
              </w:rPr>
              <w:t xml:space="preserve"> between both methods</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24</w:t>
            </w:r>
          </w:p>
        </w:tc>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31.2%</w:t>
            </w:r>
          </w:p>
        </w:tc>
      </w:tr>
      <w:tr w:rsidR="006770C2" w:rsidRPr="006770C2" w:rsidTr="006770C2">
        <w:tc>
          <w:tcPr>
            <w:tcW w:w="0" w:type="auto"/>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lastRenderedPageBreak/>
              <w:t> </w:t>
            </w:r>
            <w:r w:rsidRPr="006770C2">
              <w:rPr>
                <w:rFonts w:ascii="Times New Roman" w:eastAsia="Times New Roman" w:hAnsi="Times New Roman" w:cs="Times New Roman"/>
                <w:sz w:val="20"/>
                <w:szCs w:val="20"/>
                <w:lang w:eastAsia="en-GB"/>
              </w:rPr>
              <w:t>Kappa coefficient</w:t>
            </w:r>
          </w:p>
        </w:tc>
        <w:tc>
          <w:tcPr>
            <w:tcW w:w="0" w:type="auto"/>
            <w:gridSpan w:val="2"/>
            <w:tcBorders>
              <w:top w:val="nil"/>
              <w:left w:val="nil"/>
              <w:bottom w:val="nil"/>
              <w:right w:val="nil"/>
            </w:tcBorders>
            <w:tcMar>
              <w:top w:w="48" w:type="dxa"/>
              <w:left w:w="96" w:type="dxa"/>
              <w:bottom w:w="48" w:type="dxa"/>
              <w:right w:w="96" w:type="dxa"/>
            </w:tcMar>
            <w:hideMark/>
          </w:tcPr>
          <w:p w:rsidR="006770C2" w:rsidRPr="006770C2" w:rsidRDefault="006770C2" w:rsidP="006770C2">
            <w:pPr>
              <w:spacing w:before="332" w:after="332" w:line="393" w:lineRule="atLeast"/>
              <w:jc w:val="both"/>
              <w:rPr>
                <w:rFonts w:ascii="Times New Roman" w:eastAsia="Times New Roman" w:hAnsi="Times New Roman" w:cs="Times New Roman"/>
                <w:sz w:val="20"/>
                <w:szCs w:val="20"/>
                <w:lang w:eastAsia="en-GB"/>
              </w:rPr>
            </w:pPr>
            <w:r w:rsidRPr="006770C2">
              <w:rPr>
                <w:rFonts w:ascii="Times New Roman" w:eastAsia="Times New Roman" w:hAnsi="Times New Roman" w:cs="Times New Roman"/>
                <w:sz w:val="20"/>
                <w:szCs w:val="20"/>
                <w:lang w:eastAsia="en-GB"/>
              </w:rPr>
              <w:t>0.635 (95% CI: 0.548–0.740)</w:t>
            </w:r>
          </w:p>
        </w:tc>
      </w:tr>
    </w:tbl>
    <w:p w:rsidR="006770C2" w:rsidRPr="006770C2" w:rsidRDefault="006770C2" w:rsidP="006770C2">
      <w:pPr>
        <w:shd w:val="clear" w:color="auto" w:fill="FFFCF0"/>
        <w:spacing w:line="240" w:lineRule="auto"/>
        <w:rPr>
          <w:rFonts w:ascii="Times New Roman" w:eastAsia="Times New Roman" w:hAnsi="Times New Roman" w:cs="Times New Roman"/>
          <w:color w:val="000000"/>
          <w:sz w:val="21"/>
          <w:szCs w:val="21"/>
          <w:lang w:eastAsia="en-GB"/>
        </w:rPr>
      </w:pPr>
      <w:r w:rsidRPr="006770C2">
        <w:rPr>
          <w:rFonts w:ascii="Times New Roman" w:eastAsia="Times New Roman" w:hAnsi="Times New Roman" w:cs="Times New Roman"/>
          <w:color w:val="000000"/>
          <w:sz w:val="21"/>
          <w:szCs w:val="21"/>
          <w:lang w:eastAsia="en-GB"/>
        </w:rPr>
        <w:t>NB: </w:t>
      </w:r>
      <w:proofErr w:type="spellStart"/>
      <w:r w:rsidRPr="006770C2">
        <w:rPr>
          <w:rFonts w:ascii="Times New Roman" w:eastAsia="Times New Roman" w:hAnsi="Times New Roman" w:cs="Times New Roman"/>
          <w:i/>
          <w:iCs/>
          <w:color w:val="000000"/>
          <w:sz w:val="21"/>
          <w:lang w:eastAsia="en-GB"/>
        </w:rPr>
        <w:t>CoDs</w:t>
      </w:r>
      <w:proofErr w:type="spellEnd"/>
      <w:r w:rsidRPr="006770C2">
        <w:rPr>
          <w:rFonts w:ascii="Times New Roman" w:eastAsia="Times New Roman" w:hAnsi="Times New Roman" w:cs="Times New Roman"/>
          <w:color w:val="000000"/>
          <w:sz w:val="21"/>
          <w:szCs w:val="21"/>
          <w:lang w:eastAsia="en-GB"/>
        </w:rPr>
        <w:t> cause of deaths</w:t>
      </w:r>
    </w:p>
    <w:p w:rsidR="008D50E9" w:rsidRDefault="008D50E9"/>
    <w:sectPr w:rsidR="008D50E9" w:rsidSect="008D50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770C2"/>
    <w:rsid w:val="006770C2"/>
    <w:rsid w:val="006D0147"/>
    <w:rsid w:val="008D50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E9"/>
  </w:style>
  <w:style w:type="paragraph" w:styleId="Heading3">
    <w:name w:val="heading 3"/>
    <w:basedOn w:val="Normal"/>
    <w:link w:val="Heading3Char"/>
    <w:uiPriority w:val="9"/>
    <w:qFormat/>
    <w:rsid w:val="006770C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0C2"/>
    <w:rPr>
      <w:rFonts w:ascii="Times New Roman" w:eastAsia="Times New Roman" w:hAnsi="Times New Roman" w:cs="Times New Roman"/>
      <w:b/>
      <w:bCs/>
      <w:sz w:val="27"/>
      <w:szCs w:val="27"/>
      <w:lang w:eastAsia="en-GB"/>
    </w:rPr>
  </w:style>
  <w:style w:type="paragraph" w:customStyle="1" w:styleId="p">
    <w:name w:val="p"/>
    <w:basedOn w:val="Normal"/>
    <w:rsid w:val="006770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70C2"/>
    <w:rPr>
      <w:color w:val="0000FF"/>
      <w:u w:val="single"/>
    </w:rPr>
  </w:style>
  <w:style w:type="character" w:customStyle="1" w:styleId="figpopup-sensitive-area">
    <w:name w:val="figpopup-sensitive-area"/>
    <w:basedOn w:val="DefaultParagraphFont"/>
    <w:rsid w:val="006770C2"/>
  </w:style>
  <w:style w:type="paragraph" w:styleId="NormalWeb">
    <w:name w:val="Normal (Web)"/>
    <w:basedOn w:val="Normal"/>
    <w:uiPriority w:val="99"/>
    <w:semiHidden/>
    <w:unhideWhenUsed/>
    <w:rsid w:val="006770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770C2"/>
    <w:rPr>
      <w:i/>
      <w:iCs/>
    </w:rPr>
  </w:style>
</w:styles>
</file>

<file path=word/webSettings.xml><?xml version="1.0" encoding="utf-8"?>
<w:webSettings xmlns:r="http://schemas.openxmlformats.org/officeDocument/2006/relationships" xmlns:w="http://schemas.openxmlformats.org/wordprocessingml/2006/main">
  <w:divs>
    <w:div w:id="642122047">
      <w:bodyDiv w:val="1"/>
      <w:marLeft w:val="0"/>
      <w:marRight w:val="0"/>
      <w:marTop w:val="0"/>
      <w:marBottom w:val="0"/>
      <w:divBdr>
        <w:top w:val="none" w:sz="0" w:space="0" w:color="auto"/>
        <w:left w:val="none" w:sz="0" w:space="0" w:color="auto"/>
        <w:bottom w:val="none" w:sz="0" w:space="0" w:color="auto"/>
        <w:right w:val="none" w:sz="0" w:space="0" w:color="auto"/>
      </w:divBdr>
      <w:divsChild>
        <w:div w:id="12781732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6263759">
              <w:marLeft w:val="0"/>
              <w:marRight w:val="0"/>
              <w:marTop w:val="0"/>
              <w:marBottom w:val="0"/>
              <w:divBdr>
                <w:top w:val="none" w:sz="0" w:space="0" w:color="auto"/>
                <w:left w:val="none" w:sz="0" w:space="0" w:color="auto"/>
                <w:bottom w:val="none" w:sz="0" w:space="0" w:color="auto"/>
                <w:right w:val="none" w:sz="0" w:space="0" w:color="auto"/>
              </w:divBdr>
            </w:div>
            <w:div w:id="684523625">
              <w:marLeft w:val="0"/>
              <w:marRight w:val="0"/>
              <w:marTop w:val="0"/>
              <w:marBottom w:val="0"/>
              <w:divBdr>
                <w:top w:val="none" w:sz="0" w:space="0" w:color="auto"/>
                <w:left w:val="none" w:sz="0" w:space="0" w:color="auto"/>
                <w:bottom w:val="none" w:sz="0" w:space="0" w:color="auto"/>
                <w:right w:val="none" w:sz="0" w:space="0" w:color="auto"/>
              </w:divBdr>
            </w:div>
          </w:divsChild>
        </w:div>
        <w:div w:id="159304914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416824007">
              <w:marLeft w:val="0"/>
              <w:marRight w:val="0"/>
              <w:marTop w:val="0"/>
              <w:marBottom w:val="332"/>
              <w:divBdr>
                <w:top w:val="none" w:sz="0" w:space="0" w:color="auto"/>
                <w:left w:val="none" w:sz="0" w:space="0" w:color="auto"/>
                <w:bottom w:val="none" w:sz="0" w:space="0" w:color="auto"/>
                <w:right w:val="none" w:sz="0" w:space="0" w:color="auto"/>
              </w:divBdr>
            </w:div>
            <w:div w:id="1994991458">
              <w:marLeft w:val="0"/>
              <w:marRight w:val="0"/>
              <w:marTop w:val="0"/>
              <w:marBottom w:val="0"/>
              <w:divBdr>
                <w:top w:val="none" w:sz="0" w:space="0" w:color="auto"/>
                <w:left w:val="none" w:sz="0" w:space="0" w:color="auto"/>
                <w:bottom w:val="none" w:sz="0" w:space="0" w:color="auto"/>
                <w:right w:val="none" w:sz="0" w:space="0" w:color="auto"/>
              </w:divBdr>
              <w:divsChild>
                <w:div w:id="1368876693">
                  <w:marLeft w:val="0"/>
                  <w:marRight w:val="0"/>
                  <w:marTop w:val="0"/>
                  <w:marBottom w:val="0"/>
                  <w:divBdr>
                    <w:top w:val="none" w:sz="0" w:space="0" w:color="auto"/>
                    <w:left w:val="none" w:sz="0" w:space="0" w:color="auto"/>
                    <w:bottom w:val="none" w:sz="0" w:space="0" w:color="auto"/>
                    <w:right w:val="none" w:sz="0" w:space="0" w:color="auto"/>
                  </w:divBdr>
                </w:div>
                <w:div w:id="50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380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351108252">
              <w:marLeft w:val="0"/>
              <w:marRight w:val="0"/>
              <w:marTop w:val="0"/>
              <w:marBottom w:val="332"/>
              <w:divBdr>
                <w:top w:val="none" w:sz="0" w:space="0" w:color="auto"/>
                <w:left w:val="none" w:sz="0" w:space="0" w:color="auto"/>
                <w:bottom w:val="none" w:sz="0" w:space="0" w:color="auto"/>
                <w:right w:val="none" w:sz="0" w:space="0" w:color="auto"/>
              </w:divBdr>
            </w:div>
            <w:div w:id="1922375696">
              <w:marLeft w:val="0"/>
              <w:marRight w:val="0"/>
              <w:marTop w:val="0"/>
              <w:marBottom w:val="0"/>
              <w:divBdr>
                <w:top w:val="none" w:sz="0" w:space="0" w:color="auto"/>
                <w:left w:val="none" w:sz="0" w:space="0" w:color="auto"/>
                <w:bottom w:val="none" w:sz="0" w:space="0" w:color="auto"/>
                <w:right w:val="none" w:sz="0" w:space="0" w:color="auto"/>
              </w:divBdr>
              <w:divsChild>
                <w:div w:id="1781609319">
                  <w:marLeft w:val="0"/>
                  <w:marRight w:val="0"/>
                  <w:marTop w:val="0"/>
                  <w:marBottom w:val="0"/>
                  <w:divBdr>
                    <w:top w:val="none" w:sz="0" w:space="0" w:color="auto"/>
                    <w:left w:val="none" w:sz="0" w:space="0" w:color="auto"/>
                    <w:bottom w:val="none" w:sz="0" w:space="0" w:color="auto"/>
                    <w:right w:val="none" w:sz="0" w:space="0" w:color="auto"/>
                  </w:divBdr>
                </w:div>
                <w:div w:id="866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21478032">
              <w:marLeft w:val="0"/>
              <w:marRight w:val="0"/>
              <w:marTop w:val="0"/>
              <w:marBottom w:val="0"/>
              <w:divBdr>
                <w:top w:val="none" w:sz="0" w:space="0" w:color="auto"/>
                <w:left w:val="none" w:sz="0" w:space="0" w:color="auto"/>
                <w:bottom w:val="none" w:sz="0" w:space="0" w:color="auto"/>
                <w:right w:val="none" w:sz="0" w:space="0" w:color="auto"/>
              </w:divBdr>
            </w:div>
            <w:div w:id="1016082888">
              <w:marLeft w:val="0"/>
              <w:marRight w:val="0"/>
              <w:marTop w:val="0"/>
              <w:marBottom w:val="0"/>
              <w:divBdr>
                <w:top w:val="none" w:sz="0" w:space="0" w:color="auto"/>
                <w:left w:val="none" w:sz="0" w:space="0" w:color="auto"/>
                <w:bottom w:val="none" w:sz="0" w:space="0" w:color="auto"/>
                <w:right w:val="none" w:sz="0" w:space="0" w:color="auto"/>
              </w:divBdr>
            </w:div>
            <w:div w:id="1483619050">
              <w:marLeft w:val="0"/>
              <w:marRight w:val="0"/>
              <w:marTop w:val="332"/>
              <w:marBottom w:val="332"/>
              <w:divBdr>
                <w:top w:val="none" w:sz="0" w:space="0" w:color="auto"/>
                <w:left w:val="none" w:sz="0" w:space="0" w:color="auto"/>
                <w:bottom w:val="none" w:sz="0" w:space="0" w:color="auto"/>
                <w:right w:val="none" w:sz="0" w:space="0" w:color="auto"/>
              </w:divBdr>
            </w:div>
          </w:divsChild>
        </w:div>
        <w:div w:id="99962285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12975535">
              <w:marLeft w:val="0"/>
              <w:marRight w:val="0"/>
              <w:marTop w:val="0"/>
              <w:marBottom w:val="0"/>
              <w:divBdr>
                <w:top w:val="none" w:sz="0" w:space="0" w:color="auto"/>
                <w:left w:val="none" w:sz="0" w:space="0" w:color="auto"/>
                <w:bottom w:val="none" w:sz="0" w:space="0" w:color="auto"/>
                <w:right w:val="none" w:sz="0" w:space="0" w:color="auto"/>
              </w:divBdr>
            </w:div>
            <w:div w:id="864441755">
              <w:marLeft w:val="0"/>
              <w:marRight w:val="0"/>
              <w:marTop w:val="0"/>
              <w:marBottom w:val="0"/>
              <w:divBdr>
                <w:top w:val="none" w:sz="0" w:space="0" w:color="auto"/>
                <w:left w:val="none" w:sz="0" w:space="0" w:color="auto"/>
                <w:bottom w:val="none" w:sz="0" w:space="0" w:color="auto"/>
                <w:right w:val="none" w:sz="0" w:space="0" w:color="auto"/>
              </w:divBdr>
            </w:div>
          </w:divsChild>
        </w:div>
        <w:div w:id="75132019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643191859">
              <w:marLeft w:val="0"/>
              <w:marRight w:val="0"/>
              <w:marTop w:val="0"/>
              <w:marBottom w:val="0"/>
              <w:divBdr>
                <w:top w:val="none" w:sz="0" w:space="0" w:color="auto"/>
                <w:left w:val="none" w:sz="0" w:space="0" w:color="auto"/>
                <w:bottom w:val="none" w:sz="0" w:space="0" w:color="auto"/>
                <w:right w:val="none" w:sz="0" w:space="0" w:color="auto"/>
              </w:divBdr>
            </w:div>
            <w:div w:id="252014284">
              <w:marLeft w:val="0"/>
              <w:marRight w:val="0"/>
              <w:marTop w:val="0"/>
              <w:marBottom w:val="0"/>
              <w:divBdr>
                <w:top w:val="none" w:sz="0" w:space="0" w:color="auto"/>
                <w:left w:val="none" w:sz="0" w:space="0" w:color="auto"/>
                <w:bottom w:val="none" w:sz="0" w:space="0" w:color="auto"/>
                <w:right w:val="none" w:sz="0" w:space="0" w:color="auto"/>
              </w:divBdr>
            </w:div>
            <w:div w:id="512188364">
              <w:marLeft w:val="0"/>
              <w:marRight w:val="0"/>
              <w:marTop w:val="332"/>
              <w:marBottom w:val="332"/>
              <w:divBdr>
                <w:top w:val="none" w:sz="0" w:space="0" w:color="auto"/>
                <w:left w:val="none" w:sz="0" w:space="0" w:color="auto"/>
                <w:bottom w:val="none" w:sz="0" w:space="0" w:color="auto"/>
                <w:right w:val="none" w:sz="0" w:space="0" w:color="auto"/>
              </w:divBdr>
            </w:div>
          </w:divsChild>
        </w:div>
        <w:div w:id="171530428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99653441">
              <w:marLeft w:val="0"/>
              <w:marRight w:val="0"/>
              <w:marTop w:val="0"/>
              <w:marBottom w:val="0"/>
              <w:divBdr>
                <w:top w:val="none" w:sz="0" w:space="0" w:color="auto"/>
                <w:left w:val="none" w:sz="0" w:space="0" w:color="auto"/>
                <w:bottom w:val="none" w:sz="0" w:space="0" w:color="auto"/>
                <w:right w:val="none" w:sz="0" w:space="0" w:color="auto"/>
              </w:divBdr>
            </w:div>
            <w:div w:id="1077901325">
              <w:marLeft w:val="0"/>
              <w:marRight w:val="0"/>
              <w:marTop w:val="0"/>
              <w:marBottom w:val="0"/>
              <w:divBdr>
                <w:top w:val="none" w:sz="0" w:space="0" w:color="auto"/>
                <w:left w:val="none" w:sz="0" w:space="0" w:color="auto"/>
                <w:bottom w:val="none" w:sz="0" w:space="0" w:color="auto"/>
                <w:right w:val="none" w:sz="0" w:space="0" w:color="auto"/>
              </w:divBdr>
            </w:div>
            <w:div w:id="750085930">
              <w:marLeft w:val="0"/>
              <w:marRight w:val="0"/>
              <w:marTop w:val="332"/>
              <w:marBottom w:val="332"/>
              <w:divBdr>
                <w:top w:val="none" w:sz="0" w:space="0" w:color="auto"/>
                <w:left w:val="none" w:sz="0" w:space="0" w:color="auto"/>
                <w:bottom w:val="none" w:sz="0" w:space="0" w:color="auto"/>
                <w:right w:val="none" w:sz="0" w:space="0" w:color="auto"/>
              </w:divBdr>
            </w:div>
          </w:divsChild>
        </w:div>
        <w:div w:id="59467640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67117570">
              <w:marLeft w:val="0"/>
              <w:marRight w:val="0"/>
              <w:marTop w:val="0"/>
              <w:marBottom w:val="0"/>
              <w:divBdr>
                <w:top w:val="none" w:sz="0" w:space="0" w:color="auto"/>
                <w:left w:val="none" w:sz="0" w:space="0" w:color="auto"/>
                <w:bottom w:val="none" w:sz="0" w:space="0" w:color="auto"/>
                <w:right w:val="none" w:sz="0" w:space="0" w:color="auto"/>
              </w:divBdr>
            </w:div>
            <w:div w:id="1917935080">
              <w:marLeft w:val="0"/>
              <w:marRight w:val="0"/>
              <w:marTop w:val="0"/>
              <w:marBottom w:val="0"/>
              <w:divBdr>
                <w:top w:val="none" w:sz="0" w:space="0" w:color="auto"/>
                <w:left w:val="none" w:sz="0" w:space="0" w:color="auto"/>
                <w:bottom w:val="none" w:sz="0" w:space="0" w:color="auto"/>
                <w:right w:val="none" w:sz="0" w:space="0" w:color="auto"/>
              </w:divBdr>
            </w:div>
          </w:divsChild>
        </w:div>
        <w:div w:id="47390732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338383347">
              <w:marLeft w:val="0"/>
              <w:marRight w:val="0"/>
              <w:marTop w:val="0"/>
              <w:marBottom w:val="0"/>
              <w:divBdr>
                <w:top w:val="none" w:sz="0" w:space="0" w:color="auto"/>
                <w:left w:val="none" w:sz="0" w:space="0" w:color="auto"/>
                <w:bottom w:val="none" w:sz="0" w:space="0" w:color="auto"/>
                <w:right w:val="none" w:sz="0" w:space="0" w:color="auto"/>
              </w:divBdr>
            </w:div>
            <w:div w:id="1472943279">
              <w:marLeft w:val="0"/>
              <w:marRight w:val="0"/>
              <w:marTop w:val="0"/>
              <w:marBottom w:val="0"/>
              <w:divBdr>
                <w:top w:val="none" w:sz="0" w:space="0" w:color="auto"/>
                <w:left w:val="none" w:sz="0" w:space="0" w:color="auto"/>
                <w:bottom w:val="none" w:sz="0" w:space="0" w:color="auto"/>
                <w:right w:val="none" w:sz="0" w:space="0" w:color="auto"/>
              </w:divBdr>
            </w:div>
            <w:div w:id="1883007688">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147005/figure/Fig2/" TargetMode="External"/><Relationship Id="rId13" Type="http://schemas.openxmlformats.org/officeDocument/2006/relationships/hyperlink" Target="https://www.ncbi.nlm.nih.gov/pmc/articles/PMC714700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7147005/figure/Fig1/" TargetMode="External"/><Relationship Id="rId12" Type="http://schemas.openxmlformats.org/officeDocument/2006/relationships/hyperlink" Target="https://www.ncbi.nlm.nih.gov/pmc/articles/PMC7147005/table/Tab4/" TargetMode="External"/><Relationship Id="rId17" Type="http://schemas.openxmlformats.org/officeDocument/2006/relationships/hyperlink" Target="https://www.ncbi.nlm.nih.gov/pmc/articles/PMC7147005/table/Tab7/" TargetMode="External"/><Relationship Id="rId2" Type="http://schemas.openxmlformats.org/officeDocument/2006/relationships/settings" Target="settings.xml"/><Relationship Id="rId16" Type="http://schemas.openxmlformats.org/officeDocument/2006/relationships/hyperlink" Target="https://www.ncbi.nlm.nih.gov/pmc/articles/PMC7147005/table/Tab7/" TargetMode="External"/><Relationship Id="rId1" Type="http://schemas.openxmlformats.org/officeDocument/2006/relationships/styles" Target="styles.xml"/><Relationship Id="rId6" Type="http://schemas.openxmlformats.org/officeDocument/2006/relationships/hyperlink" Target="https://www.ncbi.nlm.nih.gov/pmc/articles/PMC7147005/figure/Fig2/" TargetMode="External"/><Relationship Id="rId11" Type="http://schemas.openxmlformats.org/officeDocument/2006/relationships/hyperlink" Target="https://www.ncbi.nlm.nih.gov/pmc/articles/PMC7147005/table/Tab4/" TargetMode="External"/><Relationship Id="rId5" Type="http://schemas.openxmlformats.org/officeDocument/2006/relationships/hyperlink" Target="https://www.ncbi.nlm.nih.gov/pmc/articles/PMC7147005/figure/Fig1/" TargetMode="External"/><Relationship Id="rId15" Type="http://schemas.openxmlformats.org/officeDocument/2006/relationships/hyperlink" Target="https://www.ncbi.nlm.nih.gov/pmc/articles/PMC7147005/table/Tab6/" TargetMode="External"/><Relationship Id="rId10" Type="http://schemas.openxmlformats.org/officeDocument/2006/relationships/hyperlink" Target="https://www.ncbi.nlm.nih.gov/pmc/articles/PMC7147005/table/Tab3/" TargetMode="External"/><Relationship Id="rId19" Type="http://schemas.openxmlformats.org/officeDocument/2006/relationships/theme" Target="theme/theme1.xml"/><Relationship Id="rId4" Type="http://schemas.openxmlformats.org/officeDocument/2006/relationships/hyperlink" Target="https://www.ncbi.nlm.nih.gov/pmc/articles/PMC7147005/table/Tab1/" TargetMode="External"/><Relationship Id="rId9" Type="http://schemas.openxmlformats.org/officeDocument/2006/relationships/hyperlink" Target="https://www.ncbi.nlm.nih.gov/pmc/articles/PMC7147005/table/Tab2/" TargetMode="External"/><Relationship Id="rId14" Type="http://schemas.openxmlformats.org/officeDocument/2006/relationships/hyperlink" Target="https://www.ncbi.nlm.nih.gov/pmc/articles/PMC7147005/table/Ta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LUOMA</dc:creator>
  <cp:keywords/>
  <dc:description/>
  <cp:lastModifiedBy>KIM LUOMA</cp:lastModifiedBy>
  <cp:revision>2</cp:revision>
  <dcterms:created xsi:type="dcterms:W3CDTF">2020-10-03T20:02:00Z</dcterms:created>
  <dcterms:modified xsi:type="dcterms:W3CDTF">2020-10-03T22:02:00Z</dcterms:modified>
</cp:coreProperties>
</file>