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51F0" w14:textId="284CCF09" w:rsidR="00D65722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Foreign and autoreactive CD4 conventional and regulatory T cells in T1D and healthy subjects</w:t>
      </w:r>
    </w:p>
    <w:p w14:paraId="66734E7C" w14:textId="77777777" w:rsidR="00D65722" w:rsidRDefault="00D65722" w:rsidP="00532DA6">
      <w:pPr>
        <w:rPr>
          <w:sz w:val="22"/>
          <w:szCs w:val="22"/>
        </w:rPr>
      </w:pPr>
    </w:p>
    <w:p w14:paraId="51833928" w14:textId="5CA68E15" w:rsidR="00283A6B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 xml:space="preserve">Thomas Edwards*, Janice Chen*, Karen </w:t>
      </w:r>
      <w:proofErr w:type="spellStart"/>
      <w:r>
        <w:rPr>
          <w:sz w:val="22"/>
          <w:szCs w:val="22"/>
        </w:rPr>
        <w:t>Cerosaletti</w:t>
      </w:r>
      <w:proofErr w:type="spellEnd"/>
    </w:p>
    <w:p w14:paraId="28D4DC82" w14:textId="77777777" w:rsidR="00283A6B" w:rsidRDefault="00283A6B" w:rsidP="00532DA6">
      <w:pPr>
        <w:rPr>
          <w:sz w:val="22"/>
          <w:szCs w:val="22"/>
        </w:rPr>
      </w:pPr>
    </w:p>
    <w:p w14:paraId="4D059B90" w14:textId="4D984A9D" w:rsidR="00527FB1" w:rsidRDefault="0096178E" w:rsidP="00532DA6">
      <w:pPr>
        <w:rPr>
          <w:sz w:val="22"/>
          <w:szCs w:val="22"/>
        </w:rPr>
      </w:pPr>
      <w:r>
        <w:rPr>
          <w:sz w:val="22"/>
          <w:szCs w:val="22"/>
        </w:rPr>
        <w:t>Dysfunction in regulatory T cells has been implicated in Type 1 Diabetes (T1D). It is thought that regulatory T cells (Treg) play a crucial role in preventing autoimmune damage by autoreactive conventional T cells (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) to the pancreatic Islet beta cells, which produce insulin. The precise mechanism by which Treg moderate Islet antigen-reactive (IAR)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remains an open question. A prior investigation revealed limited TCR sharing between IAR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and Treg.</w:t>
      </w:r>
      <w:r w:rsidR="00532DA6">
        <w:rPr>
          <w:sz w:val="22"/>
          <w:szCs w:val="22"/>
        </w:rPr>
        <w:t xml:space="preserve"> Here, we investigate whether this is also the case for foreign antigen-reactive T cells. </w:t>
      </w:r>
      <w:r w:rsidR="00532DA6" w:rsidRPr="00B90136">
        <w:rPr>
          <w:sz w:val="22"/>
          <w:szCs w:val="22"/>
        </w:rPr>
        <w:t>This goal of this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experiment is to compare the TCR repertoire and transcript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phenotypes of foreign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antigen</w:t>
      </w:r>
      <w:r w:rsidR="00532DA6">
        <w:rPr>
          <w:sz w:val="22"/>
          <w:szCs w:val="22"/>
        </w:rPr>
        <w:t>-</w:t>
      </w:r>
      <w:r w:rsidR="00532DA6" w:rsidRPr="00B90136">
        <w:rPr>
          <w:sz w:val="22"/>
          <w:szCs w:val="22"/>
        </w:rPr>
        <w:t xml:space="preserve"> vs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autoantigen</w:t>
      </w:r>
      <w:r w:rsidR="00532DA6">
        <w:rPr>
          <w:sz w:val="22"/>
          <w:szCs w:val="22"/>
        </w:rPr>
        <w:t>-</w:t>
      </w:r>
      <w:r w:rsidR="00532DA6" w:rsidRPr="00B90136">
        <w:rPr>
          <w:sz w:val="22"/>
          <w:szCs w:val="22"/>
        </w:rPr>
        <w:t xml:space="preserve">reactive CD4 </w:t>
      </w:r>
      <w:proofErr w:type="spellStart"/>
      <w:r w:rsidR="00532DA6" w:rsidRPr="00B90136">
        <w:rPr>
          <w:sz w:val="22"/>
          <w:szCs w:val="22"/>
        </w:rPr>
        <w:t>T</w:t>
      </w:r>
      <w:r w:rsidR="00532DA6">
        <w:rPr>
          <w:sz w:val="22"/>
          <w:szCs w:val="22"/>
        </w:rPr>
        <w:t>conv</w:t>
      </w:r>
      <w:proofErr w:type="spellEnd"/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and T</w:t>
      </w:r>
      <w:r w:rsidR="00532DA6">
        <w:rPr>
          <w:sz w:val="22"/>
          <w:szCs w:val="22"/>
        </w:rPr>
        <w:t>reg</w:t>
      </w:r>
      <w:r w:rsidR="00532DA6" w:rsidRPr="00B90136">
        <w:rPr>
          <w:sz w:val="22"/>
          <w:szCs w:val="22"/>
        </w:rPr>
        <w:t xml:space="preserve"> to determine if features of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autoreactive cells differ from foreign reactive T cells, particularly for Treg cells.</w:t>
      </w:r>
      <w:r w:rsidR="00D65722">
        <w:rPr>
          <w:sz w:val="22"/>
          <w:szCs w:val="22"/>
        </w:rPr>
        <w:t xml:space="preserve"> To investigate these potential differences, we compared </w:t>
      </w:r>
      <w:r w:rsidR="00532DA6" w:rsidRPr="00B90136">
        <w:rPr>
          <w:sz w:val="22"/>
          <w:szCs w:val="22"/>
        </w:rPr>
        <w:t xml:space="preserve">CD4 </w:t>
      </w:r>
      <w:proofErr w:type="spellStart"/>
      <w:r w:rsidR="00532DA6" w:rsidRPr="00B90136">
        <w:rPr>
          <w:sz w:val="22"/>
          <w:szCs w:val="22"/>
        </w:rPr>
        <w:t>Tconv</w:t>
      </w:r>
      <w:proofErr w:type="spellEnd"/>
      <w:r w:rsidR="00532DA6" w:rsidRPr="00B90136">
        <w:rPr>
          <w:sz w:val="22"/>
          <w:szCs w:val="22"/>
        </w:rPr>
        <w:t xml:space="preserve"> and Treg cells reactive to a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microbial peptide pool</w:t>
      </w:r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 xml:space="preserve">(CEFX) to </w:t>
      </w:r>
      <w:proofErr w:type="spellStart"/>
      <w:r w:rsidR="00532DA6" w:rsidRPr="00B90136">
        <w:rPr>
          <w:sz w:val="22"/>
          <w:szCs w:val="22"/>
        </w:rPr>
        <w:t>Tconv</w:t>
      </w:r>
      <w:proofErr w:type="spellEnd"/>
      <w:r w:rsidR="00532DA6" w:rsidRPr="00B90136">
        <w:rPr>
          <w:sz w:val="22"/>
          <w:szCs w:val="22"/>
        </w:rPr>
        <w:t xml:space="preserve"> and Treg cells reactive to an islet peptide pool in 3 HC and 3 T1D subjects.</w:t>
      </w:r>
    </w:p>
    <w:p w14:paraId="07B9B4FA" w14:textId="77777777" w:rsidR="00B90136" w:rsidRDefault="00B90136" w:rsidP="00B90136">
      <w:pPr>
        <w:rPr>
          <w:sz w:val="22"/>
          <w:szCs w:val="22"/>
        </w:rPr>
      </w:pPr>
    </w:p>
    <w:p w14:paraId="63C73C39" w14:textId="2024B96B" w:rsidR="00B90136" w:rsidRDefault="00D65722" w:rsidP="00B90136">
      <w:pPr>
        <w:rPr>
          <w:sz w:val="22"/>
          <w:szCs w:val="22"/>
        </w:rPr>
      </w:pPr>
      <w:r>
        <w:rPr>
          <w:sz w:val="22"/>
          <w:szCs w:val="22"/>
        </w:rPr>
        <w:t xml:space="preserve">Two 10X GEM-X XLEAP </w:t>
      </w:r>
      <w:proofErr w:type="spellStart"/>
      <w:r w:rsidR="00B90136" w:rsidRPr="00B90136">
        <w:rPr>
          <w:sz w:val="22"/>
          <w:szCs w:val="22"/>
        </w:rPr>
        <w:t>captu</w:t>
      </w:r>
      <w:proofErr w:type="spellEnd"/>
      <w:r w:rsidR="00B90136" w:rsidRPr="00B90136">
        <w:rPr>
          <w:sz w:val="22"/>
          <w:szCs w:val="22"/>
        </w:rPr>
        <w:t>res consisting of 3 subjects each for single cell sequencing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RNA-seq,</w:t>
      </w:r>
      <w:r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TCR-seq,</w:t>
      </w:r>
      <w:r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and a limited set of </w:t>
      </w:r>
      <w:proofErr w:type="spellStart"/>
      <w:r w:rsidR="00B90136" w:rsidRPr="00B90136">
        <w:rPr>
          <w:sz w:val="22"/>
          <w:szCs w:val="22"/>
        </w:rPr>
        <w:t>CITEseq</w:t>
      </w:r>
      <w:proofErr w:type="spellEnd"/>
      <w:r w:rsidR="00B90136" w:rsidRPr="00B90136">
        <w:rPr>
          <w:sz w:val="22"/>
          <w:szCs w:val="22"/>
        </w:rPr>
        <w:t xml:space="preserve"> antibodies</w:t>
      </w:r>
      <w:r>
        <w:rPr>
          <w:sz w:val="22"/>
          <w:szCs w:val="22"/>
        </w:rPr>
        <w:t xml:space="preserve"> were run</w:t>
      </w:r>
      <w:r w:rsidR="00B90136" w:rsidRPr="00B90136">
        <w:rPr>
          <w:sz w:val="22"/>
          <w:szCs w:val="22"/>
        </w:rPr>
        <w:t xml:space="preserve">. Fresh blood </w:t>
      </w:r>
      <w:r>
        <w:rPr>
          <w:sz w:val="22"/>
          <w:szCs w:val="22"/>
        </w:rPr>
        <w:t>was</w:t>
      </w:r>
      <w:r w:rsidR="00B90136" w:rsidRPr="00B90136">
        <w:rPr>
          <w:sz w:val="22"/>
          <w:szCs w:val="22"/>
        </w:rPr>
        <w:t xml:space="preserve"> processed to PBMCs that </w:t>
      </w:r>
      <w:r>
        <w:rPr>
          <w:sz w:val="22"/>
          <w:szCs w:val="22"/>
        </w:rPr>
        <w:t>was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stimulated with 1) islet peptides, 2) CEFX, and</w:t>
      </w:r>
      <w:r>
        <w:rPr>
          <w:sz w:val="22"/>
          <w:szCs w:val="22"/>
        </w:rPr>
        <w:t xml:space="preserve"> 3)</w:t>
      </w:r>
      <w:r w:rsidR="00B90136" w:rsidRPr="00B90136">
        <w:rPr>
          <w:sz w:val="22"/>
          <w:szCs w:val="22"/>
        </w:rPr>
        <w:t xml:space="preserve"> anti</w:t>
      </w:r>
      <w:r>
        <w:rPr>
          <w:sz w:val="22"/>
          <w:szCs w:val="22"/>
        </w:rPr>
        <w:t>-</w:t>
      </w:r>
      <w:r w:rsidR="00B90136" w:rsidRPr="00B90136">
        <w:rPr>
          <w:sz w:val="22"/>
          <w:szCs w:val="22"/>
        </w:rPr>
        <w:t>CD3/anti-CD28 (polyclonal stimulation) for 20</w:t>
      </w:r>
      <w:r>
        <w:rPr>
          <w:sz w:val="22"/>
          <w:szCs w:val="22"/>
        </w:rPr>
        <w:t xml:space="preserve"> hours</w:t>
      </w:r>
      <w:r w:rsidR="00B90136" w:rsidRPr="00B90136">
        <w:rPr>
          <w:sz w:val="22"/>
          <w:szCs w:val="22"/>
        </w:rPr>
        <w:t>. After stimulation</w:t>
      </w:r>
      <w:r>
        <w:rPr>
          <w:sz w:val="22"/>
          <w:szCs w:val="22"/>
        </w:rPr>
        <w:t>,</w:t>
      </w:r>
      <w:r w:rsidR="00B90136" w:rsidRPr="00B90136">
        <w:rPr>
          <w:sz w:val="22"/>
          <w:szCs w:val="22"/>
        </w:rPr>
        <w:t xml:space="preserve"> each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donor and stimulation </w:t>
      </w:r>
      <w:proofErr w:type="gramStart"/>
      <w:r>
        <w:rPr>
          <w:sz w:val="22"/>
          <w:szCs w:val="22"/>
        </w:rPr>
        <w:t>was</w:t>
      </w:r>
      <w:proofErr w:type="gramEnd"/>
      <w:r w:rsidR="00B90136" w:rsidRPr="00B90136">
        <w:rPr>
          <w:sz w:val="22"/>
          <w:szCs w:val="22"/>
        </w:rPr>
        <w:t xml:space="preserve"> stained with a unique hashtag antibody and combined by stimulus. Activated cells </w:t>
      </w:r>
      <w:r>
        <w:rPr>
          <w:sz w:val="22"/>
          <w:szCs w:val="22"/>
        </w:rPr>
        <w:t>were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enriched for CD154+ and CD137+ cells, surface stained with CITE-seq and flow antibodies, and sorted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CD154+CD137+ cells. All islet and CEFX stimulated cells </w:t>
      </w:r>
      <w:r>
        <w:rPr>
          <w:sz w:val="22"/>
          <w:szCs w:val="22"/>
        </w:rPr>
        <w:t>were</w:t>
      </w:r>
      <w:r w:rsidR="00B90136" w:rsidRPr="00B90136">
        <w:rPr>
          <w:sz w:val="22"/>
          <w:szCs w:val="22"/>
        </w:rPr>
        <w:t xml:space="preserve"> combined into a single tube and polyclonally stimulated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cells will be in a separate tube. The polyclonal cells</w:t>
      </w:r>
      <w:r>
        <w:rPr>
          <w:sz w:val="22"/>
          <w:szCs w:val="22"/>
        </w:rPr>
        <w:t xml:space="preserve"> were added</w:t>
      </w:r>
      <w:r w:rsidR="00B90136" w:rsidRPr="00B90136">
        <w:rPr>
          <w:sz w:val="22"/>
          <w:szCs w:val="22"/>
        </w:rPr>
        <w:t xml:space="preserve"> to the antigen reactive cells to enable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clustering of antigen reactive cells against the total CD4 landscape.</w:t>
      </w:r>
    </w:p>
    <w:p w14:paraId="1C0470AA" w14:textId="77777777" w:rsidR="00D65722" w:rsidRDefault="00D65722" w:rsidP="00B90136">
      <w:pPr>
        <w:rPr>
          <w:sz w:val="22"/>
          <w:szCs w:val="22"/>
        </w:rPr>
      </w:pPr>
    </w:p>
    <w:p w14:paraId="21A6546A" w14:textId="4992D8CD" w:rsidR="00D65722" w:rsidRDefault="00D65722" w:rsidP="00B90136">
      <w:pPr>
        <w:rPr>
          <w:sz w:val="22"/>
          <w:szCs w:val="22"/>
        </w:rPr>
      </w:pPr>
      <w:r>
        <w:rPr>
          <w:sz w:val="22"/>
          <w:szCs w:val="22"/>
        </w:rPr>
        <w:t xml:space="preserve">The IAR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and Treg cells showed similar transcriptomic signatures and cell recovery, while CEFX cells displayed a distinct transcriptomic profile and were recovered in much greater numbers. Across all three stimulations, Treg and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cells are distinguishable by </w:t>
      </w:r>
      <w:proofErr w:type="spellStart"/>
      <w:r>
        <w:rPr>
          <w:sz w:val="22"/>
          <w:szCs w:val="22"/>
        </w:rPr>
        <w:t>scRNA</w:t>
      </w:r>
      <w:proofErr w:type="spellEnd"/>
      <w:r>
        <w:rPr>
          <w:sz w:val="22"/>
          <w:szCs w:val="22"/>
        </w:rPr>
        <w:t xml:space="preserve">-seq and CITE-seq. Approximately 85% of recovered cells contained TCR pairs. </w:t>
      </w:r>
    </w:p>
    <w:p w14:paraId="2DA57D0B" w14:textId="77777777" w:rsidR="00D65722" w:rsidRDefault="00D65722" w:rsidP="00B90136">
      <w:pPr>
        <w:rPr>
          <w:sz w:val="22"/>
          <w:szCs w:val="22"/>
        </w:rPr>
      </w:pPr>
    </w:p>
    <w:p w14:paraId="62894C5F" w14:textId="4FC156DD" w:rsidR="00C22172" w:rsidRDefault="00D65722">
      <w:pPr>
        <w:rPr>
          <w:sz w:val="22"/>
          <w:szCs w:val="22"/>
        </w:rPr>
      </w:pPr>
      <w:r>
        <w:rPr>
          <w:sz w:val="22"/>
          <w:szCs w:val="22"/>
        </w:rPr>
        <w:t xml:space="preserve">Investigation of TCR clonality and expansion between Treg and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cells and between stimulations may help to determine if IAR </w:t>
      </w:r>
      <w:proofErr w:type="spellStart"/>
      <w:r>
        <w:rPr>
          <w:sz w:val="22"/>
          <w:szCs w:val="22"/>
        </w:rPr>
        <w:t>Tconvs</w:t>
      </w:r>
      <w:proofErr w:type="spellEnd"/>
      <w:r>
        <w:rPr>
          <w:sz w:val="22"/>
          <w:szCs w:val="22"/>
        </w:rPr>
        <w:t xml:space="preserve"> bear a distinct relationship to Treg cells compared with foreign antigen-reactive </w:t>
      </w:r>
      <w:proofErr w:type="spellStart"/>
      <w:r>
        <w:rPr>
          <w:sz w:val="22"/>
          <w:szCs w:val="22"/>
        </w:rPr>
        <w:t>Tconv</w:t>
      </w:r>
      <w:proofErr w:type="spellEnd"/>
      <w:r>
        <w:rPr>
          <w:sz w:val="22"/>
          <w:szCs w:val="22"/>
        </w:rPr>
        <w:t xml:space="preserve"> cells. </w:t>
      </w:r>
    </w:p>
    <w:p w14:paraId="77C889BC" w14:textId="77777777" w:rsidR="00283A6B" w:rsidRDefault="00283A6B">
      <w:pPr>
        <w:rPr>
          <w:sz w:val="22"/>
          <w:szCs w:val="22"/>
        </w:rPr>
      </w:pPr>
    </w:p>
    <w:p w14:paraId="6788BDFC" w14:textId="13D38710" w:rsidR="00283A6B" w:rsidRPr="009C4D49" w:rsidRDefault="00283A6B">
      <w:pPr>
        <w:rPr>
          <w:sz w:val="22"/>
          <w:szCs w:val="22"/>
        </w:rPr>
      </w:pPr>
      <w:r>
        <w:rPr>
          <w:sz w:val="22"/>
          <w:szCs w:val="22"/>
        </w:rPr>
        <w:t>*Co-1</w:t>
      </w:r>
      <w:r w:rsidRPr="00283A6B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authors</w:t>
      </w:r>
    </w:p>
    <w:sectPr w:rsidR="00283A6B" w:rsidRPr="009C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656D"/>
    <w:multiLevelType w:val="multilevel"/>
    <w:tmpl w:val="B16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308"/>
    <w:multiLevelType w:val="multilevel"/>
    <w:tmpl w:val="E62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312">
    <w:abstractNumId w:val="0"/>
  </w:num>
  <w:num w:numId="2" w16cid:durableId="169981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9"/>
    <w:rsid w:val="00283A6B"/>
    <w:rsid w:val="00347DBC"/>
    <w:rsid w:val="00527FB1"/>
    <w:rsid w:val="00532DA6"/>
    <w:rsid w:val="0096178E"/>
    <w:rsid w:val="009C4D49"/>
    <w:rsid w:val="00B90136"/>
    <w:rsid w:val="00C15698"/>
    <w:rsid w:val="00C22172"/>
    <w:rsid w:val="00C2688D"/>
    <w:rsid w:val="00D65722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1C324"/>
  <w15:chartTrackingRefBased/>
  <w15:docId w15:val="{0668CB14-193B-2E4B-B40D-2F0F98C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1</cp:revision>
  <dcterms:created xsi:type="dcterms:W3CDTF">2024-08-14T21:33:00Z</dcterms:created>
  <dcterms:modified xsi:type="dcterms:W3CDTF">2024-08-14T23:56:00Z</dcterms:modified>
</cp:coreProperties>
</file>