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6DF2" w14:textId="77777777" w:rsidR="00F54452" w:rsidRPr="00616AC7" w:rsidRDefault="00000000">
      <w:pPr>
        <w:pStyle w:val="Ttulo"/>
        <w:rPr>
          <w:rFonts w:ascii="Arial" w:hAnsi="Arial" w:cs="Arial"/>
          <w:b/>
          <w:bCs/>
          <w:sz w:val="44"/>
          <w:szCs w:val="44"/>
        </w:rPr>
      </w:pPr>
      <w:r w:rsidRPr="00616AC7">
        <w:rPr>
          <w:rFonts w:ascii="Arial" w:hAnsi="Arial" w:cs="Arial"/>
          <w:b/>
          <w:bCs/>
          <w:sz w:val="44"/>
          <w:szCs w:val="44"/>
        </w:rPr>
        <w:t>Análisis de puntualidad y confiabilidad de vuelos</w:t>
      </w:r>
    </w:p>
    <w:p w14:paraId="5FB902DC" w14:textId="683AA8D3" w:rsidR="00F54452" w:rsidRPr="00616AC7" w:rsidRDefault="00000000">
      <w:pPr>
        <w:pStyle w:val="Ttulo1"/>
        <w:rPr>
          <w:rFonts w:ascii="Arial" w:hAnsi="Arial" w:cs="Arial"/>
        </w:rPr>
      </w:pPr>
      <w:proofErr w:type="spellStart"/>
      <w:r w:rsidRPr="00616AC7">
        <w:rPr>
          <w:rFonts w:ascii="Arial" w:hAnsi="Arial" w:cs="Arial"/>
        </w:rPr>
        <w:t>Resumen</w:t>
      </w:r>
      <w:proofErr w:type="spellEnd"/>
    </w:p>
    <w:p w14:paraId="57AF9D5E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Se implementa un flujo reproducible de auditoría, análisis y comunicación para estudiar el desempeño de vuelos. El paquete incluye un notebook ejecutado, diez visualizaciones justificadas e interpretadas, un componente geográfico y una aplicación Streamlit con cuatro KPI y cinco visualizaciones. El diseño conserva la estructura del HTML, pero reemplaza sus cruces simulados por evidencia disponible.</w:t>
      </w:r>
    </w:p>
    <w:p w14:paraId="07350B20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La auditoría detecta 142 filas inconsistentes entre 3.344. El subconjunto que supera los controles reúne 35.436.522 operaciones, con 78,08% de puntualidad y 1,80% de cancelaciones. La mayor participación en minutos atribuidos corresponde al avión previo (39,03%) y a la aerolínea (35,81%). Estas asociaciones permiten orientar investigaciones, pero no identificar causas ni recomendar un operador sin ajustes adicionales.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54452" w:rsidRPr="00616AC7" w14:paraId="0F66919D" w14:textId="77777777"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18F8744A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Indicador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0E91EE10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Resultado validado</w:t>
            </w:r>
          </w:p>
        </w:tc>
      </w:tr>
      <w:tr w:rsidR="00F54452" w:rsidRPr="00616AC7" w14:paraId="3B5B8E55" w14:textId="77777777"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CECF78B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Operaciones incluidas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E18296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35.436.522</w:t>
            </w:r>
          </w:p>
        </w:tc>
      </w:tr>
      <w:tr w:rsidR="00F54452" w:rsidRPr="00616AC7" w14:paraId="52386B42" w14:textId="77777777"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4270248D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Puntualidad sobre operaciones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63370E9C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78,08%</w:t>
            </w:r>
          </w:p>
        </w:tc>
      </w:tr>
      <w:tr w:rsidR="00F54452" w:rsidRPr="00616AC7" w14:paraId="0991FE8D" w14:textId="77777777"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77B517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Cancelación sobre operaciones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6B25B2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1,80%</w:t>
            </w:r>
          </w:p>
        </w:tc>
      </w:tr>
      <w:tr w:rsidR="00F54452" w:rsidRPr="00616AC7" w14:paraId="50BC4C2E" w14:textId="77777777"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40DF1561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Demora media entre vuelos con demora ≥15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4943FFE2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71,09 minutos</w:t>
            </w:r>
          </w:p>
        </w:tc>
      </w:tr>
    </w:tbl>
    <w:p w14:paraId="62C35AB3" w14:textId="77777777" w:rsidR="00F54452" w:rsidRPr="00616AC7" w:rsidRDefault="00000000">
      <w:pPr>
        <w:pStyle w:val="Ttulo1"/>
        <w:spacing w:before="140"/>
        <w:rPr>
          <w:rFonts w:ascii="Arial" w:hAnsi="Arial" w:cs="Arial"/>
        </w:rPr>
      </w:pPr>
      <w:r w:rsidRPr="00616AC7">
        <w:rPr>
          <w:rFonts w:ascii="Arial" w:hAnsi="Arial" w:cs="Arial"/>
        </w:rPr>
        <w:t>Alcance y estado de entrega</w:t>
      </w:r>
    </w:p>
    <w:p w14:paraId="7B7B64A2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Los resultados describen exclusivamente los adjuntos. No se acredita la fuente primaria, la cobertura del universo ni el proceso de extracción. El HTML contiene ejemplos y cálculos simulados que no se consideran observaciones. El archivo abarca enero de 2021 a mayo de 2026.</w:t>
      </w:r>
    </w:p>
    <w:p w14:paraId="47D0925D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La aplicación queda implementada y probada localmente. El despliegue público y su enlace están pendientes de una cuenta y un repositorio de alojamiento. Este requisito de la rúbrica no se declara completado ni se inventa una URL. El paquete incluye la ficha para ejecutar y publicar el proyecto.</w:t>
      </w:r>
    </w:p>
    <w:p w14:paraId="278BC8D6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38A4856C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Datos y control de calidad</w:t>
      </w:r>
    </w:p>
    <w:p w14:paraId="1A9F453F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La tabla cube contiene 3.344 filas y 17 campos originales; su clave es Year, Month, Airline, OriginState y Haul. No se detectan claves duplicadas ni valores nulos. OriginState contiene únicamente US: representa el agregado nacional y no un estado. Los bloques auxiliares son hubs (35 filas), hourly (10) y dow (1). No se unen al cubo por carecer de claves compatibles.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54452" w:rsidRPr="00616AC7" w14:paraId="642C0E7E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6B304086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Año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35284F30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Filas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6672BDAD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Válidas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5AE37C80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Excluidas</w:t>
            </w:r>
          </w:p>
        </w:tc>
      </w:tr>
      <w:tr w:rsidR="00F54452" w:rsidRPr="00616AC7" w14:paraId="54144AD8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34E95E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2021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E97CB6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665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162297D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664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DDE4BF1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1</w:t>
            </w:r>
          </w:p>
        </w:tc>
      </w:tr>
      <w:tr w:rsidR="00F54452" w:rsidRPr="00616AC7" w14:paraId="1D09190B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298828B2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2022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678E018A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654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4DDDF2E8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653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6BC9E13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1</w:t>
            </w:r>
          </w:p>
        </w:tc>
      </w:tr>
      <w:tr w:rsidR="00F54452" w:rsidRPr="00616AC7" w14:paraId="1F683CBF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12822F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2023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E18E79E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501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C7A681F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376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F95CC1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125</w:t>
            </w:r>
          </w:p>
        </w:tc>
      </w:tr>
      <w:tr w:rsidR="00F54452" w:rsidRPr="00616AC7" w14:paraId="05285030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7CEF1CB0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7C2C79B4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645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145F2A3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643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037A47FC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</w:t>
            </w:r>
          </w:p>
        </w:tc>
      </w:tr>
      <w:tr w:rsidR="00F54452" w:rsidRPr="00616AC7" w14:paraId="6A3DB5A8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698F968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2025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A4FEEB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629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5D46C32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624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1476014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5</w:t>
            </w:r>
          </w:p>
        </w:tc>
      </w:tr>
      <w:tr w:rsidR="00F54452" w:rsidRPr="00616AC7" w14:paraId="356A214E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C6ED86E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2026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2371CB1B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250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F8987CC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242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3A2B97C5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8</w:t>
            </w:r>
          </w:p>
        </w:tc>
      </w:tr>
    </w:tbl>
    <w:p w14:paraId="438C84C7" w14:textId="77777777" w:rsidR="00F54452" w:rsidRPr="00616AC7" w:rsidRDefault="00000000">
      <w:pPr>
        <w:spacing w:before="140"/>
        <w:rPr>
          <w:rFonts w:ascii="Arial" w:hAnsi="Arial" w:cs="Arial"/>
        </w:rPr>
      </w:pPr>
      <w:r w:rsidRPr="00616AC7">
        <w:rPr>
          <w:rFonts w:ascii="Arial" w:hAnsi="Arial" w:cs="Arial"/>
        </w:rPr>
        <w:t>Reglas: tipos numéricos y finitud; valores no negativos y ops mayor que cero; conteos enteros; fechas válidas; clave única; ontime + delayed15 + cancel + divert = ops; delayed60 ≤ delayed15; suma de cinco causas = sumDelayMin, con tolerancia absoluta de 0,01. La última igualdad sigue la semántica usada en el HTML y debe confirmarse con el proveedor.</w:t>
      </w:r>
    </w:p>
    <w:p w14:paraId="00CE9F29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Fallan 108 filas en balance de estados y 139 en balance de causas; 105 fallan ambos controles. La unión produce 142 exclusiones, equivalentes a 2.945.667 operaciones, 7,67% del volumen bruto. No se corrige ni se imputa el origen. El CSV de auditoría identifica cada fila original y sus incidencias.</w:t>
      </w:r>
    </w:p>
    <w:p w14:paraId="11BCABB5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Ejemplo: en abril de 2023, AS y alcance corto declara 15.172 operaciones, 15.125 puntuales, cero demoras, cancelaciones y desvíos; quedan 47 operaciones sin clasificar. A la vez declara 20.919.825 minutos por aerolínea frente a cero minutos totales. Esa fila no puede sostener un KPI coherente.</w:t>
      </w:r>
    </w:p>
    <w:p w14:paraId="0E1400FF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t>Sensibilidad a la exclusión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54452" w:rsidRPr="00616AC7" w14:paraId="5AF49945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3076E522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Universo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5C4104CE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Operaciones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456244EA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Puntualidad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65FAA0B8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Cancelación</w:t>
            </w:r>
          </w:p>
        </w:tc>
      </w:tr>
      <w:tr w:rsidR="00F54452" w:rsidRPr="00616AC7" w14:paraId="28670931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4A8D184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Archivo original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B7AB2E9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38.382.189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D2E5528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79,34%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585C86E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1,68%</w:t>
            </w:r>
          </w:p>
        </w:tc>
      </w:tr>
      <w:tr w:rsidR="00F54452" w:rsidRPr="00616AC7" w14:paraId="78C8E8CE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13D85F91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Subconjunto validado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6ED6EB14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35.436.522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46056151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78,08%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7732E6D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1,80%</w:t>
            </w:r>
          </w:p>
        </w:tc>
      </w:tr>
    </w:tbl>
    <w:p w14:paraId="4E98258A" w14:textId="77777777" w:rsidR="00F54452" w:rsidRPr="00616AC7" w:rsidRDefault="00000000">
      <w:pPr>
        <w:spacing w:before="140"/>
        <w:rPr>
          <w:rFonts w:ascii="Arial" w:hAnsi="Arial" w:cs="Arial"/>
        </w:rPr>
      </w:pPr>
      <w:r w:rsidRPr="00616AC7">
        <w:rPr>
          <w:rFonts w:ascii="Arial" w:hAnsi="Arial" w:cs="Arial"/>
        </w:rPr>
        <w:t>En 2023 la puntualidad cambia de 86,56% a 79,52% tras excluir las filas observadas. Esto evidencia sensibilidad, no una recuperación garantizada de la verdad. Superar controles internos no demuestra autenticidad, representatividad ni ausencia de otros errores.</w:t>
      </w:r>
    </w:p>
    <w:p w14:paraId="3DE4FEF7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15162FC9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Definiciones y decisiones analíticas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7"/>
        <w:gridCol w:w="4987"/>
      </w:tblGrid>
      <w:tr w:rsidR="00F54452" w:rsidRPr="00616AC7" w14:paraId="4E530E81" w14:textId="77777777" w:rsidTr="00616AC7">
        <w:trPr>
          <w:trHeight w:val="354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0F33F4A2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Campos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8F2"/>
          </w:tcPr>
          <w:p w14:paraId="573CB0AF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Uso e interpretación</w:t>
            </w:r>
          </w:p>
        </w:tc>
      </w:tr>
      <w:tr w:rsidR="00F54452" w:rsidRPr="00616AC7" w14:paraId="68F37AAD" w14:textId="77777777" w:rsidTr="00616AC7">
        <w:trPr>
          <w:trHeight w:val="354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60380A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Year y Month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D52B4EA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Fecha mensual; no se infieren días individuales.</w:t>
            </w:r>
          </w:p>
        </w:tc>
      </w:tr>
      <w:tr w:rsidR="00F54452" w:rsidRPr="00616AC7" w14:paraId="2AC59475" w14:textId="77777777" w:rsidTr="00616AC7">
        <w:trPr>
          <w:trHeight w:val="561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FB640D9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Airline y Haul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6DE2A44A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Código de aerolínea y alcance declarado; límites de distancia no documentados.</w:t>
            </w:r>
          </w:p>
        </w:tc>
      </w:tr>
      <w:tr w:rsidR="00F54452" w:rsidRPr="00616AC7" w14:paraId="2F148FB0" w14:textId="77777777" w:rsidTr="00616AC7">
        <w:trPr>
          <w:trHeight w:val="354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8DD23CB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ops y ontime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6B31409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Operaciones y puntuales según definición del HTML.</w:t>
            </w:r>
          </w:p>
        </w:tc>
      </w:tr>
      <w:tr w:rsidR="00F54452" w:rsidRPr="00616AC7" w14:paraId="747C31A7" w14:textId="77777777" w:rsidTr="00616AC7">
        <w:trPr>
          <w:trHeight w:val="561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42D9146D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delayed15 y delayed60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1CF16A00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Demoras ≥15 y ≥60 minutos; la segunda está incluida en la primera.</w:t>
            </w:r>
          </w:p>
        </w:tc>
      </w:tr>
      <w:tr w:rsidR="00F54452" w:rsidRPr="00616AC7" w14:paraId="49BE7C83" w14:textId="77777777" w:rsidTr="00616AC7">
        <w:trPr>
          <w:trHeight w:val="354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B89C196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cancel y divert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ED48350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Cancelaciones y desvíos en categorías separadas.</w:t>
            </w:r>
          </w:p>
        </w:tc>
      </w:tr>
      <w:tr w:rsidR="00F54452" w:rsidRPr="00616AC7" w14:paraId="7947F0A6" w14:textId="77777777" w:rsidTr="00616AC7">
        <w:trPr>
          <w:trHeight w:val="561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2BBB8F5F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sumDelayMin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55780AEC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Minutos de demora para el denominador delayed15 según el HTML.</w:t>
            </w:r>
          </w:p>
        </w:tc>
      </w:tr>
      <w:tr w:rsidR="00F54452" w:rsidRPr="00616AC7" w14:paraId="068E91AB" w14:textId="77777777" w:rsidTr="00616AC7">
        <w:trPr>
          <w:trHeight w:val="561"/>
        </w:trPr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7E8063E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carrierDelay, weatherDelay, nasDelay, secDelay, lateAirDelay</w:t>
            </w:r>
          </w:p>
        </w:tc>
        <w:tc>
          <w:tcPr>
            <w:tcW w:w="4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444EC3" w14:textId="77777777" w:rsidR="00F54452" w:rsidRPr="00616AC7" w:rsidRDefault="00000000">
            <w:pPr>
              <w:spacing w:before="80" w:after="80"/>
              <w:rPr>
                <w:rFonts w:ascii="Arial" w:hAnsi="Arial" w:cs="Arial"/>
              </w:rPr>
            </w:pPr>
            <w:r w:rsidRPr="00616AC7">
              <w:rPr>
                <w:rFonts w:ascii="Arial" w:hAnsi="Arial" w:cs="Arial"/>
                <w:sz w:val="18"/>
              </w:rPr>
              <w:t>Atribuciones a aerolínea, clima, sistema aéreo, seguridad y avión previo.</w:t>
            </w:r>
          </w:p>
        </w:tc>
      </w:tr>
    </w:tbl>
    <w:p w14:paraId="2677064B" w14:textId="77777777" w:rsidR="00F54452" w:rsidRPr="00616AC7" w:rsidRDefault="00000000">
      <w:pPr>
        <w:spacing w:before="140"/>
        <w:rPr>
          <w:rFonts w:ascii="Arial" w:hAnsi="Arial" w:cs="Arial"/>
        </w:rPr>
      </w:pPr>
      <w:r w:rsidRPr="00616AC7">
        <w:rPr>
          <w:rFonts w:ascii="Arial" w:hAnsi="Arial" w:cs="Arial"/>
        </w:rPr>
        <w:t>Todos los porcentajes se calculan como razón de sumas. Puntualidad = 100 × Σontime / Σops. Cancelación = 100 × Σcancel / Σops. Demora media = ΣsumDelayMin / Σdelayed15. No se promedian porcentajes de filas; sin denominador se muestra ausencia de dato. Puntualidad se interpreta como llegada con menos de 15 minutos de demora, sin cancelación ni desvío, conforme al HTML, sin validación a nivel de vuelo.</w:t>
      </w:r>
    </w:p>
    <w:p w14:paraId="3F39356D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t>Representación de incertidumbre</w:t>
      </w:r>
    </w:p>
    <w:p w14:paraId="10C369B2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Se emplea el intervalo Wilson al 95% para la proporción puntual por aerolínea. Para p = k/n y z = 1,95996, el centro es (p + z²/2n)/(1 + z²/n) y el semiancho z√[p(1−p)/n + z²/4n²]/(1 + z²/n). El notebook implementa esta fórmula en una función compartida.</w:t>
      </w:r>
    </w:p>
    <w:p w14:paraId="33BA9600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El intervalo presupone ensayos binomiales independientes. Los vuelos pueden estar correlacionados por día, clima y ruta, pero no hay microdatos para estimar esa dependencia. El intervalo no cuantifica sesgos ni errores del archivo. Si los agregados representan un censo, las tasas son descriptivas y el intervalo solo ilustra incertidumbre de un proceso hipotético. No se confunde dispersión mensual con confianza estadística.</w:t>
      </w:r>
    </w:p>
    <w:p w14:paraId="18194AA8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t>Comparabilidad temporal</w:t>
      </w:r>
    </w:p>
    <w:p w14:paraId="1D51BB8B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La evolución utiliza fechas mensuales reales. Para comparar años se selecciona abril y se mantienen únicamente segmentos aerolínea–alcance presentes en los cinco años con abril válido. Así se evita comparar 2026 parcial con años completos. Persisten cambios de ponderación, rutas y cobertura. No se estima una tendencia causal ni se realiza pronóstico.</w:t>
      </w:r>
    </w:p>
    <w:p w14:paraId="639472ED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5109C71D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Visualizaciones e interpretación 1 a 2</w:t>
      </w:r>
    </w:p>
    <w:p w14:paraId="7F287547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01 Evolución mensual</w:t>
      </w:r>
    </w:p>
    <w:p w14:paraId="4E282B83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¿En qué meses se observa menor puntualidad? La línea ordena los meses reales y conserva los huecos; permite distinguir oscilaciones de cambios sostenidos.</w:t>
      </w:r>
    </w:p>
    <w:p w14:paraId="761A3134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5952FA9A" wp14:editId="5F64CC12">
            <wp:extent cx="6080760" cy="2432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9851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Julio de 2024 presenta la menor puntualidad validada, 68,53%, frente al 89,00% de enero de 2021. Esto orienta la revisión de episodios operacionales. La composición y la cobertura cambian; no es una estimación causal ni una serie de vuelos individuales. De febrero a junio de 2023 no quedan filas válidas; el hueco no se interpola.</w:t>
      </w:r>
    </w:p>
    <w:p w14:paraId="27864227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02 Comparación de abril</w:t>
      </w:r>
    </w:p>
    <w:p w14:paraId="64A4AD21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¿Cómo cambia un mismo mes entre años con segmentos comunes? Las barras comparan abril y restringen el análisis a combinaciones aerolínea y alcance presentes en los cinco años con abril válido.</w:t>
      </w:r>
    </w:p>
    <w:p w14:paraId="1C92B876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38F5BE7C" wp14:editId="46995CC2">
            <wp:extent cx="6080760" cy="24323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48CE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Se retienen 45 segmentos comunes. 2021: 88.80%; 2022: 77.06%; 2024: 80.50%; 2025: 79.38%; 2026: 79.59%. La restricción mejora la comparabilidad, pero las ponderaciones por operaciones siguen cambiando. No equivale a ajustar rutas o aeropuertos. Abril de 2023 no tiene filas válidas y queda fuera de esta comparación.</w:t>
      </w:r>
    </w:p>
    <w:p w14:paraId="02E4DAAF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20A628DE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Visualizaciones e interpretación 3 a 4</w:t>
      </w:r>
    </w:p>
    <w:p w14:paraId="217A9675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03 Aerolíneas e incertidumbre</w:t>
      </w:r>
    </w:p>
    <w:p w14:paraId="76EACDC2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¿Qué diferencias de puntualidad tienen respaldo de volumen? Puntos e intervalos Wilson al 95% muestran simultáneamente tasa y precisión condicional.</w:t>
      </w:r>
    </w:p>
    <w:p w14:paraId="28E481B7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048863C9" wp14:editId="7F68B94F">
            <wp:extent cx="6080760" cy="24323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153B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EM tiene 89,29% con solo 112 operaciones y un intervalo de 82,20–93,76%; no debe declararse ganadora por el valor puntual. QX registra 83,06% en 461.193 operaciones. B6 presenta 69,83%. Las diferencias pueden reflejar mezcla de rutas y períodos.</w:t>
      </w:r>
    </w:p>
    <w:p w14:paraId="7EA86AC5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04 Alcance del vuelo</w:t>
      </w:r>
    </w:p>
    <w:p w14:paraId="1E150ED0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¿Se relaciona el alcance con la puntualidad observada? Barras con base cero facilitan comparar tres categorías sin exagerar las diferencias.</w:t>
      </w:r>
    </w:p>
    <w:p w14:paraId="28E61629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6F99FABE" wp14:editId="01352C5C">
            <wp:extent cx="6080760" cy="2432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D925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Corto alcanza 79,48%, largo 77,98% y medio 77,10%. La brecha corto–medio es 2,38 puntos porcentuales. Es una asociación del agregado; los umbrales de distancia que definen las categorías no figuran en los adjuntos.</w:t>
      </w:r>
    </w:p>
    <w:p w14:paraId="22532767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6B1B4E6A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Visualizaciones e interpretación 5 a 6</w:t>
      </w:r>
    </w:p>
    <w:p w14:paraId="119C3AF6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05 Resultado de las operaciones</w:t>
      </w:r>
    </w:p>
    <w:p w14:paraId="318EABFC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¿Qué fracción es puntual, retrasada, cancelada o desviada? Barras horizontales usan categorías excluyentes: demora 15–59 se calcula restando demora ≥60 de demora ≥15.</w:t>
      </w:r>
    </w:p>
    <w:p w14:paraId="4968BA5D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6FF37719" wp14:editId="6A2CE454">
            <wp:extent cx="6080760" cy="24323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5721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La puntualidad del subconjunto es 78,08% y la cancelación 1,80%. Los retrasos ≥60 ya están incluidos en los retrasos ≥15 y no se suman dos veces. La tasa describe operaciones incluidas y no solo vuelos completados.</w:t>
      </w:r>
    </w:p>
    <w:p w14:paraId="2795628F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06 Causas de demora</w:t>
      </w:r>
    </w:p>
    <w:p w14:paraId="28F2CC10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¿Dónde se concentra el tiempo atribuido de demora? Barras porcentuales permiten comparar la contribución de cinco categorías al total de minutos.</w:t>
      </w:r>
    </w:p>
    <w:p w14:paraId="058B3990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5740659F" wp14:editId="5C876F4F">
            <wp:extent cx="6080760" cy="2432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22F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Avión previo representa 39,03% y aerolínea 35,81%: juntas suman 74,84%. Conviene investigar la rotación de aeronaves y los procesos internos antes de proponer medidas. La etiqueta administrativa no demuestra causalidad; no se compara con filas cuyos minutos no concilian.</w:t>
      </w:r>
    </w:p>
    <w:p w14:paraId="385C99BE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5382F19A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Visualizaciones e interpretación 7 a 8</w:t>
      </w:r>
    </w:p>
    <w:p w14:paraId="617B8A25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07 Volumen y desempeño</w:t>
      </w:r>
    </w:p>
    <w:p w14:paraId="5B6F882E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¿Las aerolíneas de mayor volumen son también las más puntuales? La dispersión combina volumen y puntualidad; el color representa cancelación, sin convertir tamaño en una tercera magnitud confusa.</w:t>
      </w:r>
    </w:p>
    <w:p w14:paraId="60C82546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52C60EC7" wp14:editId="1331C369">
            <wp:extent cx="6080760" cy="24323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E317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WN concentra 6.052.588 operaciones con 76,75% de puntualidad; DL registra 4.678.479 y 82,47%. Un mayor volumen no implica por sí mismo mejor desempeño. EM es un caso de volumen mínimo, por lo que no sustenta una conclusión general.</w:t>
      </w:r>
    </w:p>
    <w:p w14:paraId="48F6E270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08 Geografía de aeropuertos</w:t>
      </w:r>
    </w:p>
    <w:p w14:paraId="4259D0E8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¿Dónde se localizan los hubs con los valores declarados más altos y bajos? Se unen códigos IATA del bloque hubs con las coordenadas explícitas del HTML; área de los círculos proporcional a vuelos y color fijo para puntualidad.</w:t>
      </w:r>
    </w:p>
    <w:p w14:paraId="0AB0358B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772241D2" wp14:editId="78441BB5">
            <wp:extent cx="6080760" cy="2432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C022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Se ubican 31 de 35 hubs. IAH, LGA, DCA y FLL quedan en la tabla sin inventar coordenadas. HNL registra 85,0% y MIA 74,3% entre los ubicados; FLL declara 73,8% pero no aparece en el mapa. Hubs no tiene fecha ni desglose por aerolínea, por lo que esta vista es independiente.</w:t>
      </w:r>
    </w:p>
    <w:p w14:paraId="75919963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6DB65E47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Visualizaciones e interpretación 9 a 10</w:t>
      </w:r>
    </w:p>
    <w:p w14:paraId="084BB89E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09 Cobertura temporal</w:t>
      </w:r>
    </w:p>
    <w:p w14:paraId="5BF62B63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¿Qué períodos están realmente disponibles? Una matriz año por mes muestra el número de filas, no una supuesta tasa horaria. Los meses sin datos se representan con guion.</w:t>
      </w:r>
    </w:p>
    <w:p w14:paraId="0DEB5254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67E7E9DC" wp14:editId="4703878B">
            <wp:extent cx="6080760" cy="24323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206F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El archivo cubre enero de 2021 a mayo de 2026. Junio–diciembre de 2026 están ausentes y no son ceros. No se compara el total de 2026 con un año completo; para comparaciones interanuales se usa abril y segmentos comunes.</w:t>
      </w:r>
    </w:p>
    <w:p w14:paraId="0D62F37B" w14:textId="77777777" w:rsidR="00F54452" w:rsidRPr="00616AC7" w:rsidRDefault="00000000">
      <w:pPr>
        <w:pStyle w:val="Ttulo2"/>
        <w:rPr>
          <w:rFonts w:ascii="Arial" w:hAnsi="Arial" w:cs="Arial"/>
        </w:rPr>
      </w:pPr>
      <w:r w:rsidRPr="00616AC7">
        <w:rPr>
          <w:rFonts w:ascii="Arial" w:hAnsi="Arial" w:cs="Arial"/>
        </w:rPr>
        <w:t>10 Perfil horario auxiliar</w:t>
      </w:r>
    </w:p>
    <w:p w14:paraId="28236F28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Pregunta: ¿Qué patrón de demora declara el resumen horario? Una línea usa solo los diez bloques presentes en hourly; no se construyen cruces día por hora que no existen.</w:t>
      </w:r>
    </w:p>
    <w:p w14:paraId="726C1138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  <w:noProof/>
        </w:rPr>
        <w:drawing>
          <wp:inline distT="0" distB="0" distL="0" distR="0" wp14:anchorId="6D73CB8A" wp14:editId="0E546A7E">
            <wp:extent cx="6080760" cy="24323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7A52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El resumen declara 98,4 minutos a las 04:00 y 65,6 a las 08:00. No respalda afirmar que la demora siempre crece durante el día. Al faltar conteos, fecha, zona horaria y denominador, la lectura es exploratoria y no se calculan intervalos ni promedios ponderados.</w:t>
      </w:r>
    </w:p>
    <w:p w14:paraId="69AA61B2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4872D590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Interactividad y coherencia visual</w:t>
      </w:r>
    </w:p>
    <w:p w14:paraId="7877BE5D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La aplicación tiene dos secciones. Análisis operacional comparte una única tabla filtrada para cuatro vistas: evolución mensual, aerolíneas con Wilson, alcance y causas. La barra lateral filtra años, meses, aerolíneas, alcance y modo de calidad. Los cuatro KPI se recalculan con la misma selección. El modo diagnóstico permite ver el bruto con advertencia; la selección vacía se resuelve con un mensaje, sin gráficos engañosos.</w:t>
      </w:r>
    </w:p>
    <w:p w14:paraId="24CEF9D0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Geografía aporta la quinta visualización, con selección de aeropuertos independiente. Los resúmenes hubs carecen de año, mes, aerolínea y alcance. El mapa no responde a filtros que sus datos no pueden soportar. La tabla muestra los 35 hubs e identifica los cuatro sin coordenadas; no se usa US como código estatal.</w:t>
      </w:r>
    </w:p>
    <w:p w14:paraId="33525623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t>Construcción geográfica</w:t>
      </w:r>
    </w:p>
    <w:p w14:paraId="78BF51AE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El mapa interactivo emplea latitud y longitud del objeto AIRPORT_COORDS del HTML y unión por código IATA. Se conserva la procedencia en hubs_coordenadas.csv. Se representan 31 de 35 aeropuertos, incluidos Hawái y el territorio continental; los cuatro faltantes se documentan. El mapa usa proyección Mercator, color Viridis con dominio fijo 65–90% y área proporcional al número de vuelos. La figura estática usa una retícula de coordenadas con ajuste de aspecto a 35° de latitud y no pretende ser una cartografía de distancias.</w:t>
      </w:r>
    </w:p>
    <w:p w14:paraId="5EAD7FAA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No se calculan intervalos de hubs: otp es un porcentaje redondeado, sin numeradores ni período identificados. Los totales de hubs no se reconcilian artificialmente con cube. El fondo cartográfico interactivo puede requerir conexión a internet; el informe, el notebook ejecutado y la tabla geográfica permanecen consultables sin ella.</w:t>
      </w:r>
    </w:p>
    <w:p w14:paraId="15956438" w14:textId="77777777" w:rsidR="00F54452" w:rsidRPr="00616AC7" w:rsidRDefault="00000000">
      <w:pPr>
        <w:pStyle w:val="Ttulo1"/>
        <w:rPr>
          <w:rFonts w:ascii="Arial" w:hAnsi="Arial" w:cs="Arial"/>
        </w:rPr>
      </w:pPr>
      <w:proofErr w:type="spellStart"/>
      <w:r w:rsidRPr="00616AC7">
        <w:rPr>
          <w:rFonts w:ascii="Arial" w:hAnsi="Arial" w:cs="Arial"/>
        </w:rPr>
        <w:t>Conclusiones</w:t>
      </w:r>
      <w:proofErr w:type="spellEnd"/>
      <w:r w:rsidRPr="00616AC7">
        <w:rPr>
          <w:rFonts w:ascii="Arial" w:hAnsi="Arial" w:cs="Arial"/>
        </w:rPr>
        <w:t xml:space="preserve"> y </w:t>
      </w:r>
      <w:proofErr w:type="spellStart"/>
      <w:r w:rsidRPr="00616AC7">
        <w:rPr>
          <w:rFonts w:ascii="Arial" w:hAnsi="Arial" w:cs="Arial"/>
        </w:rPr>
        <w:t>acciones</w:t>
      </w:r>
      <w:proofErr w:type="spellEnd"/>
      <w:r w:rsidRPr="00616AC7">
        <w:rPr>
          <w:rFonts w:ascii="Arial" w:hAnsi="Arial" w:cs="Arial"/>
        </w:rPr>
        <w:t xml:space="preserve"> </w:t>
      </w:r>
      <w:proofErr w:type="spellStart"/>
      <w:r w:rsidRPr="00616AC7">
        <w:rPr>
          <w:rFonts w:ascii="Arial" w:hAnsi="Arial" w:cs="Arial"/>
        </w:rPr>
        <w:t>propuestas</w:t>
      </w:r>
      <w:proofErr w:type="spellEnd"/>
    </w:p>
    <w:p w14:paraId="1F327F74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Primero, solicitar la reparación y el diccionario del origen: la pérdida de 7,67% del volumen por inconsistencia es material. Segundo, revisar julio de 2024 con datos diarios y rutas, por su menor puntualidad observada. Tercero, investigar minutos atribuidos a avión previo y aerolínea, que concentran 74,84% del total validado. Ninguna recomendación supone una relación causal demostrada.</w:t>
      </w:r>
    </w:p>
    <w:p w14:paraId="6F504713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Antes de comparar operadores, controlar ruta, temporada, alcance y exposición. No destacar EM como líder con solo 112 operaciones. Incorporar denominadores y período de hubs, coordenadas faltantes, códigos estatales válidos, zona horaria y resumen por día. El bloque dow contiene un único valor y no permite un análisis semanal. El perfil hourly no admite ponderación ni filtros temporales.</w:t>
      </w:r>
    </w:p>
    <w:p w14:paraId="75C39E1C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br w:type="page"/>
      </w:r>
    </w:p>
    <w:p w14:paraId="6C957BE6" w14:textId="77777777" w:rsidR="00F54452" w:rsidRPr="00616AC7" w:rsidRDefault="00000000">
      <w:pPr>
        <w:pStyle w:val="Ttulo1"/>
        <w:rPr>
          <w:rFonts w:ascii="Arial" w:hAnsi="Arial" w:cs="Arial"/>
        </w:rPr>
      </w:pPr>
      <w:r w:rsidRPr="00616AC7">
        <w:rPr>
          <w:rFonts w:ascii="Arial" w:hAnsi="Arial" w:cs="Arial"/>
        </w:rPr>
        <w:lastRenderedPageBreak/>
        <w:t>Ficha técnica y ejecución</w:t>
      </w:r>
    </w:p>
    <w:p w14:paraId="3DBF1DC4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Abrir README.md para el inicio rápido. Se recomienda Python 3.12 en un entorno virtual. Las versiones directas están fijadas en requirements.txt; el notebook y la aplicación comparten funciones para evitar divergencia entre resultados. La preparación no necesita descargar nuevos datos.</w:t>
      </w:r>
    </w:p>
    <w:p w14:paraId="67E5C1BE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1. Descomprimir el ZIP y abrir una terminal dentro de HITO2_Vuelos.</w:t>
      </w:r>
    </w:p>
    <w:p w14:paraId="7446722F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2. Crear el entorno: python -m venv .venv. Activarlo según el sistema operativo.</w:t>
      </w:r>
    </w:p>
    <w:p w14:paraId="4D975EF3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3. Instalar: python -m pip install -r requirements.txt.</w:t>
      </w:r>
    </w:p>
    <w:p w14:paraId="43225D14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4. Reproducir notebook: python ejecutar_notebook.py.</w:t>
      </w:r>
    </w:p>
    <w:p w14:paraId="1859A913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5. Ejecutar pruebas: python verificar.py.</w:t>
      </w:r>
    </w:p>
    <w:p w14:paraId="42B80B74" w14:textId="77777777" w:rsidR="00F54452" w:rsidRPr="00616AC7" w:rsidRDefault="00000000">
      <w:pPr>
        <w:rPr>
          <w:rFonts w:ascii="Arial" w:hAnsi="Arial" w:cs="Arial"/>
        </w:rPr>
      </w:pPr>
      <w:r w:rsidRPr="00616AC7">
        <w:rPr>
          <w:rFonts w:ascii="Arial" w:hAnsi="Arial" w:cs="Arial"/>
        </w:rPr>
        <w:t>6. Iniciar aplicación: python -m streamlit run app.py. Abrir http://localhost:8501.</w:t>
      </w:r>
    </w:p>
    <w:sectPr w:rsidR="00F54452" w:rsidRPr="00616AC7" w:rsidSect="00034616">
      <w:headerReference w:type="default" r:id="rId18"/>
      <w:footerReference w:type="default" r:id="rId1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B1F7" w14:textId="77777777" w:rsidR="00A37476" w:rsidRDefault="00A37476">
      <w:pPr>
        <w:spacing w:after="0" w:line="240" w:lineRule="auto"/>
      </w:pPr>
      <w:r>
        <w:separator/>
      </w:r>
    </w:p>
  </w:endnote>
  <w:endnote w:type="continuationSeparator" w:id="0">
    <w:p w14:paraId="7FF3C216" w14:textId="77777777" w:rsidR="00A37476" w:rsidRDefault="00A37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0333" w14:textId="77777777" w:rsidR="00F54452" w:rsidRDefault="00000000">
    <w:pPr>
      <w:pStyle w:val="Piedepgina"/>
    </w:pPr>
    <w:r>
      <w:t xml:space="preserve">Hito 2 · </w:t>
    </w:r>
    <w:proofErr w:type="spellStart"/>
    <w:r>
      <w:t>Análisis</w:t>
    </w:r>
    <w:proofErr w:type="spellEnd"/>
    <w:r>
      <w:t xml:space="preserve"> de </w:t>
    </w:r>
    <w:proofErr w:type="spellStart"/>
    <w:r>
      <w:t>los</w:t>
    </w:r>
    <w:proofErr w:type="spellEnd"/>
    <w:r>
      <w:t xml:space="preserve"> </w:t>
    </w:r>
    <w:proofErr w:type="spellStart"/>
    <w:r>
      <w:t>archivos</w:t>
    </w:r>
    <w:proofErr w:type="spellEnd"/>
    <w:r>
      <w:t xml:space="preserve"> </w:t>
    </w:r>
    <w:proofErr w:type="spellStart"/>
    <w:r>
      <w:t>proporcionados</w:t>
    </w:r>
    <w:proofErr w:type="spellEnd"/>
    <w:r>
      <w:t xml:space="preserve">     |     </w:t>
    </w:r>
    <w:r>
      <w:fldChar w:fldCharType="begin"/>
    </w:r>
    <w:r>
      <w:instrText>PAGE</w:instrText>
    </w:r>
    <w:r>
      <w:fldChar w:fldCharType="separate"/>
    </w:r>
    <w:r w:rsidR="00616A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C104" w14:textId="77777777" w:rsidR="00A37476" w:rsidRDefault="00A37476">
      <w:pPr>
        <w:spacing w:after="0" w:line="240" w:lineRule="auto"/>
      </w:pPr>
      <w:r>
        <w:separator/>
      </w:r>
    </w:p>
  </w:footnote>
  <w:footnote w:type="continuationSeparator" w:id="0">
    <w:p w14:paraId="0DB2FF83" w14:textId="77777777" w:rsidR="00A37476" w:rsidRDefault="00A37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5B5B" w14:textId="77777777" w:rsidR="00F54452" w:rsidRDefault="00000000">
    <w:pPr>
      <w:pStyle w:val="Descripcin"/>
    </w:pPr>
    <w:r>
      <w:rPr>
        <w:color w:val="000000"/>
      </w:rPr>
      <w:t>PROYECTO TRANSVERSAL    |    HITO 2    |    US FLIGHTS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958047">
    <w:abstractNumId w:val="8"/>
  </w:num>
  <w:num w:numId="2" w16cid:durableId="1719667169">
    <w:abstractNumId w:val="6"/>
  </w:num>
  <w:num w:numId="3" w16cid:durableId="1048336472">
    <w:abstractNumId w:val="5"/>
  </w:num>
  <w:num w:numId="4" w16cid:durableId="1003238564">
    <w:abstractNumId w:val="4"/>
  </w:num>
  <w:num w:numId="5" w16cid:durableId="1292517027">
    <w:abstractNumId w:val="7"/>
  </w:num>
  <w:num w:numId="6" w16cid:durableId="310912160">
    <w:abstractNumId w:val="3"/>
  </w:num>
  <w:num w:numId="7" w16cid:durableId="1400010746">
    <w:abstractNumId w:val="2"/>
  </w:num>
  <w:num w:numId="8" w16cid:durableId="126167214">
    <w:abstractNumId w:val="1"/>
  </w:num>
  <w:num w:numId="9" w16cid:durableId="197756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AC7"/>
    <w:rsid w:val="00A37476"/>
    <w:rsid w:val="00AA1D8D"/>
    <w:rsid w:val="00B166BD"/>
    <w:rsid w:val="00B47730"/>
    <w:rsid w:val="00CB0664"/>
    <w:rsid w:val="00F544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B59C6A"/>
  <w14:defaultImageDpi w14:val="300"/>
  <w15:docId w15:val="{7459DAAD-76D9-4BFF-A19C-A94F8059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2118</Words>
  <Characters>11649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 EPG</cp:lastModifiedBy>
  <cp:revision>2</cp:revision>
  <dcterms:created xsi:type="dcterms:W3CDTF">2013-12-23T23:15:00Z</dcterms:created>
  <dcterms:modified xsi:type="dcterms:W3CDTF">2026-10-21T14:50:00Z</dcterms:modified>
  <cp:category/>
</cp:coreProperties>
</file>