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7143" w:type="dxa"/>
        <w:tblInd w:w="2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3"/>
      </w:tblGrid>
      <w:tr w14:paraId="14CB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43" w:type="dxa"/>
            <w:tcBorders>
              <w:top w:val="single" w:color="2E75B6" w:sz="0" w:space="0"/>
              <w:left w:val="single" w:color="2E75B6" w:sz="0" w:space="0"/>
              <w:bottom w:val="single" w:color="2E75B6" w:sz="0" w:space="0"/>
              <w:right w:val="single" w:color="2E75B6" w:sz="0" w:space="0"/>
            </w:tcBorders>
            <w:shd w:val="clear" w:color="auto" w:fill="0D1B2A"/>
            <w:tcMar>
              <w:top w:w="1200" w:type="dxa"/>
              <w:left w:w="600" w:type="dxa"/>
              <w:bottom w:w="1200" w:type="dxa"/>
              <w:right w:w="600" w:type="dxa"/>
            </w:tcMar>
          </w:tcPr>
          <w:p w14:paraId="2988C23B">
            <w:pPr>
              <w:spacing w:before="0" w:after="200"/>
              <w:jc w:val="center"/>
            </w:pPr>
            <w:r>
              <w:rPr>
                <w:rFonts w:ascii="Arial" w:hAnsi="Arial" w:eastAsia="Arial" w:cs="Arial"/>
                <w:b/>
                <w:bCs/>
                <w:color w:val="FFFFFF"/>
                <w:sz w:val="56"/>
                <w:szCs w:val="56"/>
              </w:rPr>
              <w:t>BENCH SALES</w:t>
            </w:r>
          </w:p>
          <w:p w14:paraId="49B7ED25">
            <w:pPr>
              <w:spacing w:before="0" w:after="80"/>
              <w:jc w:val="center"/>
            </w:pPr>
            <w:r>
              <w:rPr>
                <w:rFonts w:ascii="Arial" w:hAnsi="Arial" w:eastAsia="Arial" w:cs="Arial"/>
                <w:b/>
                <w:bCs/>
                <w:color w:val="2E75B6"/>
                <w:sz w:val="36"/>
                <w:szCs w:val="36"/>
              </w:rPr>
              <w:t>DOC-10</w:t>
            </w:r>
          </w:p>
          <w:p w14:paraId="1A0568B3">
            <w:pPr>
              <w:spacing w:before="0" w:after="160"/>
              <w:jc w:val="center"/>
            </w:pPr>
            <w:r>
              <w:rPr>
                <w:rFonts w:ascii="Arial" w:hAnsi="Arial" w:eastAsia="Arial" w:cs="Arial"/>
                <w:b/>
                <w:bCs/>
                <w:color w:val="FFFFFF"/>
                <w:sz w:val="44"/>
                <w:szCs w:val="44"/>
              </w:rPr>
              <w:t>Risks, Tradeoffs &amp; Ethics</w:t>
            </w:r>
          </w:p>
          <w:p w14:paraId="02EDF277">
            <w:pPr>
              <w:spacing w:before="200" w:after="80"/>
              <w:jc w:val="center"/>
            </w:pPr>
            <w:r>
              <w:rPr>
                <w:rFonts w:ascii="Arial" w:hAnsi="Arial" w:eastAsia="Arial" w:cs="Arial"/>
                <w:color w:val="2E75B6"/>
                <w:sz w:val="20"/>
                <w:szCs w:val="20"/>
              </w:rPr>
              <w:t>────────────────────────────────────────</w:t>
            </w:r>
          </w:p>
          <w:p w14:paraId="406FBCDE">
            <w:pPr>
              <w:spacing w:before="80" w:after="80"/>
              <w:jc w:val="center"/>
            </w:pPr>
            <w:r>
              <w:rPr>
                <w:rFonts w:ascii="Arial" w:hAnsi="Arial" w:eastAsia="Arial" w:cs="Arial"/>
                <w:color w:val="D0D8E4"/>
                <w:sz w:val="22"/>
                <w:szCs w:val="22"/>
              </w:rPr>
              <w:t>Version 1.0  ·  CONFIDENTIAL</w:t>
            </w:r>
          </w:p>
          <w:p w14:paraId="0CB084BC">
            <w:pPr>
              <w:spacing w:before="80" w:after="80"/>
              <w:jc w:val="center"/>
            </w:pPr>
            <w:r>
              <w:rPr>
                <w:rFonts w:ascii="Arial" w:hAnsi="Arial" w:eastAsia="Arial" w:cs="Arial"/>
                <w:color w:val="D0D8E4"/>
                <w:sz w:val="20"/>
                <w:szCs w:val="20"/>
              </w:rPr>
              <w:t>© 2026 Bench Sales Technologies. All rights reserved.</w:t>
            </w:r>
          </w:p>
          <w:p w14:paraId="57D75564">
            <w:pPr>
              <w:spacing w:before="200" w:after="0"/>
              <w:jc w:val="center"/>
            </w:pPr>
            <w:r>
              <w:rPr>
                <w:rFonts w:ascii="Arial" w:hAnsi="Arial" w:eastAsia="Arial" w:cs="Arial"/>
                <w:i/>
                <w:iCs/>
                <w:color w:val="E8EEF6"/>
                <w:sz w:val="22"/>
                <w:szCs w:val="22"/>
              </w:rPr>
              <w:t>Technical Risk · Product Risk · Ethics · Legal Exposure</w:t>
            </w:r>
          </w:p>
        </w:tc>
      </w:tr>
    </w:tbl>
    <w:p w14:paraId="58B3F612">
      <w:r>
        <w:br w:type="page"/>
      </w:r>
    </w:p>
    <w:p w14:paraId="22447B16">
      <w:pPr>
        <w:sectPr>
          <w:pgSz w:w="12240" w:h="15840"/>
          <w:pgMar w:top="720" w:right="720" w:bottom="720" w:left="720" w:header="708" w:footer="708" w:gutter="0"/>
          <w:cols w:space="720" w:num="1"/>
          <w:docGrid w:linePitch="360" w:charSpace="0"/>
        </w:sectPr>
      </w:pPr>
    </w:p>
    <w:p w14:paraId="639AFFAA">
      <w:pPr>
        <w:pStyle w:val="2"/>
      </w:pPr>
      <w:r>
        <w:rPr>
          <w:rFonts w:ascii="Arial" w:hAnsi="Arial" w:eastAsia="Arial" w:cs="Arial"/>
          <w:b/>
          <w:bCs/>
          <w:color w:val="0D1B2A"/>
          <w:sz w:val="32"/>
          <w:szCs w:val="32"/>
        </w:rPr>
        <w:t>Table of Contents</w:t>
      </w:r>
    </w:p>
    <w:sdt>
      <w:sdtPr>
        <w:alias w:val="Table of Contents"/>
        <w:id w:val="147474993"/>
      </w:sdtPr>
      <w:sdtContent>
        <w:p w14:paraId="70B44968">
          <w:r>
            <w:fldChar w:fldCharType="begin"/>
          </w:r>
          <w:r>
            <w:instrText xml:space="preserve">TOC \h \o "1-3"</w:instrText>
          </w:r>
          <w:r>
            <w:fldChar w:fldCharType="separate"/>
          </w:r>
        </w:p>
        <w:p w14:paraId="498E4BC0">
          <w:r>
            <w:fldChar w:fldCharType="end"/>
          </w:r>
        </w:p>
      </w:sdtContent>
    </w:sdt>
    <w:p w14:paraId="015863AA">
      <w:r>
        <w:br w:type="page"/>
      </w:r>
    </w:p>
    <w:p w14:paraId="18ABE41F">
      <w:pPr>
        <w:pStyle w:val="2"/>
        <w:spacing w:before="400" w:after="160"/>
      </w:pPr>
      <w:r>
        <w:rPr>
          <w:rFonts w:ascii="Arial" w:hAnsi="Arial" w:eastAsia="Arial" w:cs="Arial"/>
          <w:b/>
          <w:bCs/>
          <w:color w:val="0D1B2A"/>
          <w:sz w:val="32"/>
          <w:szCs w:val="32"/>
        </w:rPr>
        <w:t>1. Introduction</w:t>
      </w:r>
    </w:p>
    <w:p w14:paraId="0EF1ACAB">
      <w:pPr>
        <w:spacing w:before="60" w:after="80"/>
      </w:pPr>
      <w:r>
        <w:rPr>
          <w:rFonts w:ascii="Arial" w:hAnsi="Arial" w:eastAsia="Arial" w:cs="Arial"/>
          <w:sz w:val="22"/>
          <w:szCs w:val="22"/>
        </w:rPr>
        <w:t>Bench Sales operates at the intersection of job platform ToS boundaries, AI-generated content, automated browser control, and personal career data. This document catalogues every known technical, product, ethical, and legal risk facing the platform — with explicit likelihood ratings, impact assessments, and concrete mitigation strategies. This is a living document; risk owners are expected to review and update entries at each quarterly planning cycle.</w:t>
      </w:r>
    </w:p>
    <w:p w14:paraId="18EC015B">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8C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29F94212">
            <w:pPr>
              <w:spacing w:before="40" w:after="40"/>
            </w:pPr>
            <w:r>
              <w:rPr>
                <w:rFonts w:ascii="Arial" w:hAnsi="Arial" w:eastAsia="Arial" w:cs="Arial"/>
                <w:color w:val="1B3A5C"/>
                <w:sz w:val="20"/>
                <w:szCs w:val="20"/>
              </w:rPr>
              <w:t>Risk Rating Scale: Likelihood 1 (Rare) → 5 (Almost Certain). Impact 1 (Negligible) → 5 (Catastrophic).</w:t>
            </w:r>
          </w:p>
          <w:p w14:paraId="4532949E">
            <w:pPr>
              <w:spacing w:before="40" w:after="40"/>
            </w:pPr>
            <w:r>
              <w:rPr>
                <w:rFonts w:ascii="Arial" w:hAnsi="Arial" w:eastAsia="Arial" w:cs="Arial"/>
                <w:color w:val="1B3A5C"/>
                <w:sz w:val="20"/>
                <w:szCs w:val="20"/>
              </w:rPr>
              <w:t>Risk Score = Likelihood × Impact. Score ≥ 15: Critical. 10–14: High. 6–9: Medium. 1–5: Low.</w:t>
            </w:r>
          </w:p>
          <w:p w14:paraId="0CFA99F9">
            <w:pPr>
              <w:spacing w:before="40" w:after="40"/>
            </w:pPr>
            <w:r>
              <w:rPr>
                <w:rFonts w:ascii="Arial" w:hAnsi="Arial" w:eastAsia="Arial" w:cs="Arial"/>
                <w:color w:val="1B3A5C"/>
                <w:sz w:val="20"/>
                <w:szCs w:val="20"/>
              </w:rPr>
              <w:t>Risk Owner: Each risk has a designated owner responsible for monitoring and mitigation execution.</w:t>
            </w:r>
          </w:p>
        </w:tc>
      </w:tr>
    </w:tbl>
    <w:p w14:paraId="216FD597">
      <w:pPr>
        <w:spacing w:before="0" w:after="240"/>
      </w:pPr>
    </w:p>
    <w:p w14:paraId="0B8F8CBC">
      <w:pPr>
        <w:pStyle w:val="2"/>
        <w:spacing w:before="400" w:after="160"/>
      </w:pPr>
      <w:r>
        <w:rPr>
          <w:rFonts w:ascii="Arial" w:hAnsi="Arial" w:eastAsia="Arial" w:cs="Arial"/>
          <w:b/>
          <w:bCs/>
          <w:color w:val="0D1B2A"/>
          <w:sz w:val="32"/>
          <w:szCs w:val="32"/>
        </w:rPr>
        <w:t>2. Master Risk Register</w:t>
      </w:r>
    </w:p>
    <w:p w14:paraId="1F7C29F9">
      <w:pPr>
        <w:spacing w:before="60" w:after="80"/>
      </w:pPr>
      <w:r>
        <w:rPr>
          <w:rFonts w:ascii="Arial" w:hAnsi="Arial" w:eastAsia="Arial" w:cs="Arial"/>
          <w:sz w:val="22"/>
          <w:szCs w:val="22"/>
        </w:rPr>
        <w:t>The following register summarises all identified risks across all categories. Detailed analysis and mitigations follow in subsequent sections.</w:t>
      </w:r>
    </w:p>
    <w:p w14:paraId="11AE419A">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8"/>
        <w:gridCol w:w="1985"/>
        <w:gridCol w:w="1147"/>
        <w:gridCol w:w="1280"/>
        <w:gridCol w:w="1021"/>
        <w:gridCol w:w="836"/>
        <w:gridCol w:w="980"/>
        <w:gridCol w:w="1453"/>
      </w:tblGrid>
      <w:tr w14:paraId="4863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6923037">
            <w:r>
              <w:rPr>
                <w:rFonts w:ascii="Arial" w:hAnsi="Arial" w:eastAsia="Arial" w:cs="Arial"/>
                <w:b/>
                <w:bCs/>
                <w:color w:val="FFFFFF"/>
                <w:sz w:val="20"/>
                <w:szCs w:val="20"/>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5A94DDB">
            <w:r>
              <w:rPr>
                <w:rFonts w:ascii="Arial" w:hAnsi="Arial" w:eastAsia="Arial" w:cs="Arial"/>
                <w:b/>
                <w:bCs/>
                <w:color w:val="FFFFFF"/>
                <w:sz w:val="20"/>
                <w:szCs w:val="20"/>
              </w:rPr>
              <w:t>Risk Name</w:t>
            </w:r>
          </w:p>
        </w:tc>
        <w:tc>
          <w:tcPr>
            <w:tcW w:w="1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DC69F2E">
            <w:r>
              <w:rPr>
                <w:rFonts w:ascii="Arial" w:hAnsi="Arial" w:eastAsia="Arial" w:cs="Arial"/>
                <w:b/>
                <w:bCs/>
                <w:color w:val="FFFFFF"/>
                <w:sz w:val="20"/>
                <w:szCs w:val="20"/>
              </w:rPr>
              <w:t>Category</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0EEF796">
            <w:r>
              <w:rPr>
                <w:rFonts w:ascii="Arial" w:hAnsi="Arial" w:eastAsia="Arial" w:cs="Arial"/>
                <w:b/>
                <w:bCs/>
                <w:color w:val="FFFFFF"/>
                <w:sz w:val="20"/>
                <w:szCs w:val="20"/>
              </w:rPr>
              <w:t>Likelihood (1–5)</w:t>
            </w:r>
          </w:p>
        </w:tc>
        <w:tc>
          <w:tcPr>
            <w:tcW w:w="1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BC5CF8C">
            <w:r>
              <w:rPr>
                <w:rFonts w:ascii="Arial" w:hAnsi="Arial" w:eastAsia="Arial" w:cs="Arial"/>
                <w:b/>
                <w:bCs/>
                <w:color w:val="FFFFFF"/>
                <w:sz w:val="20"/>
                <w:szCs w:val="20"/>
              </w:rPr>
              <w:t>Impact (1–5)</w:t>
            </w:r>
          </w:p>
        </w:tc>
        <w:tc>
          <w:tcPr>
            <w:tcW w:w="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0798370">
            <w:r>
              <w:rPr>
                <w:rFonts w:ascii="Arial" w:hAnsi="Arial" w:eastAsia="Arial" w:cs="Arial"/>
                <w:b/>
                <w:bCs/>
                <w:color w:val="FFFFFF"/>
                <w:sz w:val="20"/>
                <w:szCs w:val="20"/>
              </w:rPr>
              <w:t>Score</w:t>
            </w:r>
          </w:p>
        </w:tc>
        <w:tc>
          <w:tcPr>
            <w:tcW w:w="1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43F538F">
            <w:r>
              <w:rPr>
                <w:rFonts w:ascii="Arial" w:hAnsi="Arial" w:eastAsia="Arial" w:cs="Arial"/>
                <w:b/>
                <w:bCs/>
                <w:color w:val="FFFFFF"/>
                <w:sz w:val="20"/>
                <w:szCs w:val="20"/>
              </w:rPr>
              <w:t>Rating</w:t>
            </w:r>
          </w:p>
        </w:tc>
        <w:tc>
          <w:tcPr>
            <w:tcW w:w="10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372942E">
            <w:r>
              <w:rPr>
                <w:rFonts w:ascii="Arial" w:hAnsi="Arial" w:eastAsia="Arial" w:cs="Arial"/>
                <w:b/>
                <w:bCs/>
                <w:color w:val="FFFFFF"/>
                <w:sz w:val="20"/>
                <w:szCs w:val="20"/>
              </w:rPr>
              <w:t>Owner</w:t>
            </w:r>
          </w:p>
        </w:tc>
      </w:tr>
      <w:tr w14:paraId="025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623179">
            <w:r>
              <w:rPr>
                <w:rFonts w:ascii="Arial" w:hAnsi="Arial" w:eastAsia="Arial" w:cs="Arial"/>
                <w:color w:val="0D1B2A"/>
                <w:sz w:val="19"/>
                <w:szCs w:val="19"/>
              </w:rPr>
              <w:t>TR-01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61D057">
            <w:r>
              <w:rPr>
                <w:rFonts w:ascii="Arial" w:hAnsi="Arial" w:eastAsia="Arial" w:cs="Arial"/>
                <w:color w:val="0D1B2A"/>
                <w:sz w:val="19"/>
                <w:szCs w:val="19"/>
              </w:rPr>
              <w:t>Job platform IP ban / account block</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149614">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6109FC7D">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0BF6A3CD">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AD3B07">
            <w:r>
              <w:rPr>
                <w:rFonts w:ascii="Arial" w:hAnsi="Arial" w:eastAsia="Arial" w:cs="Arial"/>
                <w:color w:val="0D1B2A"/>
                <w:sz w:val="19"/>
                <w:szCs w:val="19"/>
              </w:rPr>
              <w:t>20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88F999">
            <w:r>
              <w:rPr>
                <w:rFonts w:ascii="Arial" w:hAnsi="Arial" w:eastAsia="Arial" w:cs="Arial"/>
                <w:color w:val="0D1B2A"/>
                <w:sz w:val="19"/>
                <w:szCs w:val="19"/>
              </w:rPr>
              <w:t>Critical</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C717DE">
            <w:r>
              <w:rPr>
                <w:rFonts w:ascii="Arial" w:hAnsi="Arial" w:eastAsia="Arial" w:cs="Arial"/>
                <w:color w:val="0D1B2A"/>
                <w:sz w:val="19"/>
                <w:szCs w:val="19"/>
              </w:rPr>
              <w:t>Engineering</w:t>
            </w:r>
          </w:p>
        </w:tc>
      </w:tr>
      <w:tr w14:paraId="6A489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BFBB839">
            <w:r>
              <w:rPr>
                <w:rFonts w:ascii="Arial" w:hAnsi="Arial" w:eastAsia="Arial" w:cs="Arial"/>
                <w:color w:val="0D1B2A"/>
                <w:sz w:val="19"/>
                <w:szCs w:val="19"/>
              </w:rPr>
              <w:t>TR-02</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8B485DF">
            <w:r>
              <w:rPr>
                <w:rFonts w:ascii="Arial" w:hAnsi="Arial" w:eastAsia="Arial" w:cs="Arial"/>
                <w:color w:val="0D1B2A"/>
                <w:sz w:val="19"/>
                <w:szCs w:val="19"/>
              </w:rPr>
              <w:t>CAPTCHA / bot-detection bypass failure</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D82665D">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172A87B9">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4D2EB59C">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11962F">
            <w:r>
              <w:rPr>
                <w:rFonts w:ascii="Arial" w:hAnsi="Arial" w:eastAsia="Arial" w:cs="Arial"/>
                <w:color w:val="0D1B2A"/>
                <w:sz w:val="19"/>
                <w:szCs w:val="19"/>
              </w:rPr>
              <w:t>16</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B675269">
            <w:r>
              <w:rPr>
                <w:rFonts w:ascii="Arial" w:hAnsi="Arial" w:eastAsia="Arial" w:cs="Arial"/>
                <w:color w:val="0D1B2A"/>
                <w:sz w:val="19"/>
                <w:szCs w:val="19"/>
              </w:rPr>
              <w:t>Critical</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DA7D93D">
            <w:r>
              <w:rPr>
                <w:rFonts w:ascii="Arial" w:hAnsi="Arial" w:eastAsia="Arial" w:cs="Arial"/>
                <w:color w:val="0D1B2A"/>
                <w:sz w:val="19"/>
                <w:szCs w:val="19"/>
              </w:rPr>
              <w:t>Engineering</w:t>
            </w:r>
          </w:p>
        </w:tc>
      </w:tr>
      <w:tr w14:paraId="593C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A3A3A2">
            <w:r>
              <w:rPr>
                <w:rFonts w:ascii="Arial" w:hAnsi="Arial" w:eastAsia="Arial" w:cs="Arial"/>
                <w:color w:val="0D1B2A"/>
                <w:sz w:val="19"/>
                <w:szCs w:val="19"/>
              </w:rPr>
              <w:t>TR-03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33D11E">
            <w:r>
              <w:rPr>
                <w:rFonts w:ascii="Arial" w:hAnsi="Arial" w:eastAsia="Arial" w:cs="Arial"/>
                <w:color w:val="0D1B2A"/>
                <w:sz w:val="19"/>
                <w:szCs w:val="19"/>
              </w:rPr>
              <w:t>AI hallucination in form fields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55B401">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276A7106">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204CFFA8">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FD275B">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3E645A">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D0CC99">
            <w:r>
              <w:rPr>
                <w:rFonts w:ascii="Arial" w:hAnsi="Arial" w:eastAsia="Arial" w:cs="Arial"/>
                <w:color w:val="0D1B2A"/>
                <w:sz w:val="19"/>
                <w:szCs w:val="19"/>
              </w:rPr>
              <w:t>Engineering</w:t>
            </w:r>
          </w:p>
        </w:tc>
      </w:tr>
      <w:tr w14:paraId="0A71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9F96900">
            <w:r>
              <w:rPr>
                <w:rFonts w:ascii="Arial" w:hAnsi="Arial" w:eastAsia="Arial" w:cs="Arial"/>
                <w:color w:val="0D1B2A"/>
                <w:sz w:val="19"/>
                <w:szCs w:val="19"/>
              </w:rPr>
              <w:t>TR-04</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A91B849">
            <w:r>
              <w:rPr>
                <w:rFonts w:ascii="Arial" w:hAnsi="Arial" w:eastAsia="Arial" w:cs="Arial"/>
                <w:color w:val="0D1B2A"/>
                <w:sz w:val="19"/>
                <w:szCs w:val="19"/>
              </w:rPr>
              <w:t>ATS selector map staleness</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2B9A59F">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7B28C28F">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67A57187">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CD3023">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F3742FE">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0255E9A">
            <w:r>
              <w:rPr>
                <w:rFonts w:ascii="Arial" w:hAnsi="Arial" w:eastAsia="Arial" w:cs="Arial"/>
                <w:color w:val="0D1B2A"/>
                <w:sz w:val="19"/>
                <w:szCs w:val="19"/>
              </w:rPr>
              <w:t>Engineering</w:t>
            </w:r>
          </w:p>
        </w:tc>
      </w:tr>
      <w:tr w14:paraId="58D9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872DD2">
            <w:r>
              <w:rPr>
                <w:rFonts w:ascii="Arial" w:hAnsi="Arial" w:eastAsia="Arial" w:cs="Arial"/>
                <w:color w:val="0D1B2A"/>
                <w:sz w:val="19"/>
                <w:szCs w:val="19"/>
              </w:rPr>
              <w:t>TR-05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7A13D8">
            <w:r>
              <w:rPr>
                <w:rFonts w:ascii="Arial" w:hAnsi="Arial" w:eastAsia="Arial" w:cs="Arial"/>
                <w:color w:val="0D1B2A"/>
                <w:sz w:val="19"/>
                <w:szCs w:val="19"/>
              </w:rPr>
              <w:t>n8n worker crash during apply</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739C5A">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45A25C22">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4A92733E">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1AE245">
            <w:r>
              <w:rPr>
                <w:rFonts w:ascii="Arial" w:hAnsi="Arial" w:eastAsia="Arial" w:cs="Arial"/>
                <w:color w:val="0D1B2A"/>
                <w:sz w:val="19"/>
                <w:szCs w:val="19"/>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AE71D2">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05459C">
            <w:r>
              <w:rPr>
                <w:rFonts w:ascii="Arial" w:hAnsi="Arial" w:eastAsia="Arial" w:cs="Arial"/>
                <w:color w:val="0D1B2A"/>
                <w:sz w:val="19"/>
                <w:szCs w:val="19"/>
              </w:rPr>
              <w:t>Engineering</w:t>
            </w:r>
          </w:p>
        </w:tc>
      </w:tr>
      <w:tr w14:paraId="7DB3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AAEAA98">
            <w:r>
              <w:rPr>
                <w:rFonts w:ascii="Arial" w:hAnsi="Arial" w:eastAsia="Arial" w:cs="Arial"/>
                <w:color w:val="0D1B2A"/>
                <w:sz w:val="19"/>
                <w:szCs w:val="19"/>
              </w:rPr>
              <w:t>TR-06</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3BBF944">
            <w:r>
              <w:rPr>
                <w:rFonts w:ascii="Arial" w:hAnsi="Arial" w:eastAsia="Arial" w:cs="Arial"/>
                <w:color w:val="0D1B2A"/>
                <w:sz w:val="19"/>
                <w:szCs w:val="19"/>
              </w:rPr>
              <w:t>Firebase Firestore quota exhaustion</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EE822FD">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2CBBF82A">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1056565B">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D26C4E4">
            <w:r>
              <w:rPr>
                <w:rFonts w:ascii="Arial" w:hAnsi="Arial" w:eastAsia="Arial" w:cs="Arial"/>
                <w:color w:val="0D1B2A"/>
                <w:sz w:val="19"/>
                <w:szCs w:val="19"/>
              </w:rPr>
              <w:t>8</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89CD5DE">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20DB6A1">
            <w:r>
              <w:rPr>
                <w:rFonts w:ascii="Arial" w:hAnsi="Arial" w:eastAsia="Arial" w:cs="Arial"/>
                <w:color w:val="0D1B2A"/>
                <w:sz w:val="19"/>
                <w:szCs w:val="19"/>
              </w:rPr>
              <w:t>Engineering</w:t>
            </w:r>
          </w:p>
        </w:tc>
      </w:tr>
      <w:tr w14:paraId="2FC4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BBE909">
            <w:r>
              <w:rPr>
                <w:rFonts w:ascii="Arial" w:hAnsi="Arial" w:eastAsia="Arial" w:cs="Arial"/>
                <w:color w:val="0D1B2A"/>
                <w:sz w:val="19"/>
                <w:szCs w:val="19"/>
              </w:rPr>
              <w:t>TR-07</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400532">
            <w:r>
              <w:rPr>
                <w:rFonts w:ascii="Arial" w:hAnsi="Arial" w:eastAsia="Arial" w:cs="Arial"/>
                <w:color w:val="0D1B2A"/>
                <w:sz w:val="19"/>
                <w:szCs w:val="19"/>
              </w:rPr>
              <w:t>OpenAI API outage / rate limit breach</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4E7890">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680F908F">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2F08450D">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9F6208">
            <w:r>
              <w:rPr>
                <w:rFonts w:ascii="Arial" w:hAnsi="Arial" w:eastAsia="Arial" w:cs="Arial"/>
                <w:color w:val="0D1B2A"/>
                <w:sz w:val="19"/>
                <w:szCs w:val="19"/>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426F88">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5B0393">
            <w:r>
              <w:rPr>
                <w:rFonts w:ascii="Arial" w:hAnsi="Arial" w:eastAsia="Arial" w:cs="Arial"/>
                <w:color w:val="0D1B2A"/>
                <w:sz w:val="19"/>
                <w:szCs w:val="19"/>
              </w:rPr>
              <w:t>Engineering</w:t>
            </w:r>
          </w:p>
        </w:tc>
      </w:tr>
      <w:tr w14:paraId="6821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8BB80E0">
            <w:r>
              <w:rPr>
                <w:rFonts w:ascii="Arial" w:hAnsi="Arial" w:eastAsia="Arial" w:cs="Arial"/>
                <w:color w:val="0D1B2A"/>
                <w:sz w:val="19"/>
                <w:szCs w:val="19"/>
              </w:rPr>
              <w:t>TR-08</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6885EC8">
            <w:r>
              <w:rPr>
                <w:rFonts w:ascii="Arial" w:hAnsi="Arial" w:eastAsia="Arial" w:cs="Arial"/>
                <w:color w:val="0D1B2A"/>
                <w:sz w:val="19"/>
                <w:szCs w:val="19"/>
              </w:rPr>
              <w:t>Cloud Run cold start causing apply timeout</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4308839">
            <w:r>
              <w:rPr>
                <w:rFonts w:ascii="Arial" w:hAnsi="Arial" w:eastAsia="Arial" w:cs="Arial"/>
                <w:color w:val="0D1B2A"/>
                <w:sz w:val="19"/>
                <w:szCs w:val="19"/>
              </w:rPr>
              <w:t>Technical</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34110C7B">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40BAD22D">
            <w:r>
              <w:rPr>
                <w:rFonts w:ascii="Arial" w:hAnsi="Arial" w:eastAsia="Arial" w:cs="Arial"/>
                <w:color w:val="0D1B2A"/>
                <w:sz w:val="19"/>
                <w:szCs w:val="19"/>
              </w:rPr>
              <w:t>2</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A49CDE">
            <w:r>
              <w:rPr>
                <w:rFonts w:ascii="Arial" w:hAnsi="Arial" w:eastAsia="Arial" w:cs="Arial"/>
                <w:color w:val="0D1B2A"/>
                <w:sz w:val="19"/>
                <w:szCs w:val="19"/>
              </w:rPr>
              <w:t>6</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92FAEC">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838D6B6">
            <w:r>
              <w:rPr>
                <w:rFonts w:ascii="Arial" w:hAnsi="Arial" w:eastAsia="Arial" w:cs="Arial"/>
                <w:color w:val="0D1B2A"/>
                <w:sz w:val="19"/>
                <w:szCs w:val="19"/>
              </w:rPr>
              <w:t>Engineering</w:t>
            </w:r>
          </w:p>
        </w:tc>
      </w:tr>
      <w:tr w14:paraId="70FF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0F8231">
            <w:r>
              <w:rPr>
                <w:rFonts w:ascii="Arial" w:hAnsi="Arial" w:eastAsia="Arial" w:cs="Arial"/>
                <w:color w:val="0D1B2A"/>
                <w:sz w:val="19"/>
                <w:szCs w:val="19"/>
              </w:rPr>
              <w:t>PR-01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674CD4">
            <w:r>
              <w:rPr>
                <w:rFonts w:ascii="Arial" w:hAnsi="Arial" w:eastAsia="Arial" w:cs="Arial"/>
                <w:color w:val="0D1B2A"/>
                <w:sz w:val="19"/>
                <w:szCs w:val="19"/>
              </w:rPr>
              <w:t>User trust erosion from rejected applications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257E86">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07C1D731">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6B6448D9">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B6F431">
            <w:r>
              <w:rPr>
                <w:rFonts w:ascii="Arial" w:hAnsi="Arial" w:eastAsia="Arial" w:cs="Arial"/>
                <w:color w:val="0D1B2A"/>
                <w:sz w:val="19"/>
                <w:szCs w:val="19"/>
              </w:rPr>
              <w:t>16</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150633">
            <w:r>
              <w:rPr>
                <w:rFonts w:ascii="Arial" w:hAnsi="Arial" w:eastAsia="Arial" w:cs="Arial"/>
                <w:color w:val="0D1B2A"/>
                <w:sz w:val="19"/>
                <w:szCs w:val="19"/>
              </w:rPr>
              <w:t>Critical</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57A53A">
            <w:r>
              <w:rPr>
                <w:rFonts w:ascii="Arial" w:hAnsi="Arial" w:eastAsia="Arial" w:cs="Arial"/>
                <w:color w:val="0D1B2A"/>
                <w:sz w:val="19"/>
                <w:szCs w:val="19"/>
              </w:rPr>
              <w:t>Product</w:t>
            </w:r>
          </w:p>
        </w:tc>
      </w:tr>
      <w:tr w14:paraId="20F0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4B71CE">
            <w:r>
              <w:rPr>
                <w:rFonts w:ascii="Arial" w:hAnsi="Arial" w:eastAsia="Arial" w:cs="Arial"/>
                <w:color w:val="0D1B2A"/>
                <w:sz w:val="19"/>
                <w:szCs w:val="19"/>
              </w:rPr>
              <w:t>PR-02</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16C4F89">
            <w:r>
              <w:rPr>
                <w:rFonts w:ascii="Arial" w:hAnsi="Arial" w:eastAsia="Arial" w:cs="Arial"/>
                <w:color w:val="0D1B2A"/>
                <w:sz w:val="19"/>
                <w:szCs w:val="19"/>
              </w:rPr>
              <w:t>Agent gaming / neglect of assigned students</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20450D0">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209D13E1">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430D14D5">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1C575E">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07BDEE7">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05D605">
            <w:r>
              <w:rPr>
                <w:rFonts w:ascii="Arial" w:hAnsi="Arial" w:eastAsia="Arial" w:cs="Arial"/>
                <w:color w:val="0D1B2A"/>
                <w:sz w:val="19"/>
                <w:szCs w:val="19"/>
              </w:rPr>
              <w:t>Product</w:t>
            </w:r>
          </w:p>
        </w:tc>
      </w:tr>
      <w:tr w14:paraId="5229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8D0DD8">
            <w:r>
              <w:rPr>
                <w:rFonts w:ascii="Arial" w:hAnsi="Arial" w:eastAsia="Arial" w:cs="Arial"/>
                <w:color w:val="0D1B2A"/>
                <w:sz w:val="19"/>
                <w:szCs w:val="19"/>
              </w:rPr>
              <w:t>PR-03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5561B9">
            <w:r>
              <w:rPr>
                <w:rFonts w:ascii="Arial" w:hAnsi="Arial" w:eastAsia="Arial" w:cs="Arial"/>
                <w:color w:val="0D1B2A"/>
                <w:sz w:val="19"/>
                <w:szCs w:val="19"/>
              </w:rPr>
              <w:t>Resume / PII data breach</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E52BEC">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68810E5A">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06396598">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D310EF">
            <w:r>
              <w:rPr>
                <w:rFonts w:ascii="Arial" w:hAnsi="Arial" w:eastAsia="Arial" w:cs="Arial"/>
                <w:color w:val="0D1B2A"/>
                <w:sz w:val="19"/>
                <w:szCs w:val="19"/>
              </w:rPr>
              <w:t>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603B6C">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B1FB15">
            <w:r>
              <w:rPr>
                <w:rFonts w:ascii="Arial" w:hAnsi="Arial" w:eastAsia="Arial" w:cs="Arial"/>
                <w:color w:val="0D1B2A"/>
                <w:sz w:val="19"/>
                <w:szCs w:val="19"/>
              </w:rPr>
              <w:t>Security</w:t>
            </w:r>
          </w:p>
        </w:tc>
      </w:tr>
      <w:tr w14:paraId="2F5A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CCFAEE3">
            <w:r>
              <w:rPr>
                <w:rFonts w:ascii="Arial" w:hAnsi="Arial" w:eastAsia="Arial" w:cs="Arial"/>
                <w:color w:val="0D1B2A"/>
                <w:sz w:val="19"/>
                <w:szCs w:val="19"/>
              </w:rPr>
              <w:t>PR-04</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1F566A3">
            <w:r>
              <w:rPr>
                <w:rFonts w:ascii="Arial" w:hAnsi="Arial" w:eastAsia="Arial" w:cs="Arial"/>
                <w:color w:val="0D1B2A"/>
                <w:sz w:val="19"/>
                <w:szCs w:val="19"/>
              </w:rPr>
              <w:t>Stripe payment fraud / chargeback abuse</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49E1A48">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32B40164">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25EA1EDC">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FA14046">
            <w:r>
              <w:rPr>
                <w:rFonts w:ascii="Arial" w:hAnsi="Arial" w:eastAsia="Arial" w:cs="Arial"/>
                <w:color w:val="0D1B2A"/>
                <w:sz w:val="19"/>
                <w:szCs w:val="19"/>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F8E09E1">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86F1D87">
            <w:r>
              <w:rPr>
                <w:rFonts w:ascii="Arial" w:hAnsi="Arial" w:eastAsia="Arial" w:cs="Arial"/>
                <w:color w:val="0D1B2A"/>
                <w:sz w:val="19"/>
                <w:szCs w:val="19"/>
              </w:rPr>
              <w:t>Product</w:t>
            </w:r>
          </w:p>
        </w:tc>
      </w:tr>
      <w:tr w14:paraId="16B6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1EC545">
            <w:r>
              <w:rPr>
                <w:rFonts w:ascii="Arial" w:hAnsi="Arial" w:eastAsia="Arial" w:cs="Arial"/>
                <w:color w:val="0D1B2A"/>
                <w:sz w:val="19"/>
                <w:szCs w:val="19"/>
              </w:rPr>
              <w:t>PR-05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DD82F2">
            <w:r>
              <w:rPr>
                <w:rFonts w:ascii="Arial" w:hAnsi="Arial" w:eastAsia="Arial" w:cs="Arial"/>
                <w:color w:val="0D1B2A"/>
                <w:sz w:val="19"/>
                <w:szCs w:val="19"/>
              </w:rPr>
              <w:t>Feature creep delaying MVP</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62AEC4">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18BAD4B1">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6F4CB06B">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DAED7A">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44B44F">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F5C56B">
            <w:r>
              <w:rPr>
                <w:rFonts w:ascii="Arial" w:hAnsi="Arial" w:eastAsia="Arial" w:cs="Arial"/>
                <w:color w:val="0D1B2A"/>
                <w:sz w:val="19"/>
                <w:szCs w:val="19"/>
              </w:rPr>
              <w:t>Product</w:t>
            </w:r>
          </w:p>
        </w:tc>
      </w:tr>
      <w:tr w14:paraId="760B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2ACE9FE">
            <w:r>
              <w:rPr>
                <w:rFonts w:ascii="Arial" w:hAnsi="Arial" w:eastAsia="Arial" w:cs="Arial"/>
                <w:color w:val="0D1B2A"/>
                <w:sz w:val="19"/>
                <w:szCs w:val="19"/>
              </w:rPr>
              <w:t>PR-06</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DCA96B2">
            <w:r>
              <w:rPr>
                <w:rFonts w:ascii="Arial" w:hAnsi="Arial" w:eastAsia="Arial" w:cs="Arial"/>
                <w:color w:val="0D1B2A"/>
                <w:sz w:val="19"/>
                <w:szCs w:val="19"/>
              </w:rPr>
              <w:t>Low user activation / poor onboarding</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5BDC79E">
            <w:r>
              <w:rPr>
                <w:rFonts w:ascii="Arial" w:hAnsi="Arial" w:eastAsia="Arial" w:cs="Arial"/>
                <w:color w:val="0D1B2A"/>
                <w:sz w:val="19"/>
                <w:szCs w:val="19"/>
              </w:rPr>
              <w:t>Product</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4CF5F939">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1EEFE67A">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D3266F8">
            <w:r>
              <w:rPr>
                <w:rFonts w:ascii="Arial" w:hAnsi="Arial" w:eastAsia="Arial" w:cs="Arial"/>
                <w:color w:val="0D1B2A"/>
                <w:sz w:val="19"/>
                <w:szCs w:val="19"/>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753D5CA">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3C019FD">
            <w:r>
              <w:rPr>
                <w:rFonts w:ascii="Arial" w:hAnsi="Arial" w:eastAsia="Arial" w:cs="Arial"/>
                <w:color w:val="0D1B2A"/>
                <w:sz w:val="19"/>
                <w:szCs w:val="19"/>
              </w:rPr>
              <w:t>Product</w:t>
            </w:r>
          </w:p>
        </w:tc>
      </w:tr>
      <w:tr w14:paraId="0176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A6971E">
            <w:r>
              <w:rPr>
                <w:rFonts w:ascii="Arial" w:hAnsi="Arial" w:eastAsia="Arial" w:cs="Arial"/>
                <w:color w:val="0D1B2A"/>
                <w:sz w:val="19"/>
                <w:szCs w:val="19"/>
              </w:rPr>
              <w:t>ET-01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D9DD3E">
            <w:r>
              <w:rPr>
                <w:rFonts w:ascii="Arial" w:hAnsi="Arial" w:eastAsia="Arial" w:cs="Arial"/>
                <w:color w:val="0D1B2A"/>
                <w:sz w:val="19"/>
                <w:szCs w:val="19"/>
              </w:rPr>
              <w:t>Automating without informed user consent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C1D208">
            <w:r>
              <w:rPr>
                <w:rFonts w:ascii="Arial" w:hAnsi="Arial" w:eastAsia="Arial" w:cs="Arial"/>
                <w:color w:val="0D1B2A"/>
                <w:sz w:val="19"/>
                <w:szCs w:val="19"/>
              </w:rPr>
              <w:t>Ethics</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6672C89C">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308B6031">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23A3D5">
            <w:r>
              <w:rPr>
                <w:rFonts w:ascii="Arial" w:hAnsi="Arial" w:eastAsia="Arial" w:cs="Arial"/>
                <w:color w:val="0D1B2A"/>
                <w:sz w:val="19"/>
                <w:szCs w:val="19"/>
              </w:rPr>
              <w:t>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0613C8">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DFF969">
            <w:r>
              <w:rPr>
                <w:rFonts w:ascii="Arial" w:hAnsi="Arial" w:eastAsia="Arial" w:cs="Arial"/>
                <w:color w:val="0D1B2A"/>
                <w:sz w:val="19"/>
                <w:szCs w:val="19"/>
              </w:rPr>
              <w:t>Legal/Product</w:t>
            </w:r>
          </w:p>
        </w:tc>
      </w:tr>
      <w:tr w14:paraId="5D85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8727561">
            <w:r>
              <w:rPr>
                <w:rFonts w:ascii="Arial" w:hAnsi="Arial" w:eastAsia="Arial" w:cs="Arial"/>
                <w:color w:val="0D1B2A"/>
                <w:sz w:val="19"/>
                <w:szCs w:val="19"/>
              </w:rPr>
              <w:t>ET-02</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E3B40B5">
            <w:r>
              <w:rPr>
                <w:rFonts w:ascii="Arial" w:hAnsi="Arial" w:eastAsia="Arial" w:cs="Arial"/>
                <w:color w:val="0D1B2A"/>
                <w:sz w:val="19"/>
                <w:szCs w:val="19"/>
              </w:rPr>
              <w:t>AI generating misleading application content</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C2BD990">
            <w:r>
              <w:rPr>
                <w:rFonts w:ascii="Arial" w:hAnsi="Arial" w:eastAsia="Arial" w:cs="Arial"/>
                <w:color w:val="0D1B2A"/>
                <w:sz w:val="19"/>
                <w:szCs w:val="19"/>
              </w:rPr>
              <w:t>Ethics</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6DDE1565">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6DA4D439">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DFF7AE2">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19F8334">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8D7D5B0">
            <w:r>
              <w:rPr>
                <w:rFonts w:ascii="Arial" w:hAnsi="Arial" w:eastAsia="Arial" w:cs="Arial"/>
                <w:color w:val="0D1B2A"/>
                <w:sz w:val="19"/>
                <w:szCs w:val="19"/>
              </w:rPr>
              <w:t>Engineering</w:t>
            </w:r>
          </w:p>
        </w:tc>
      </w:tr>
      <w:tr w14:paraId="36C5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2663CF">
            <w:r>
              <w:rPr>
                <w:rFonts w:ascii="Arial" w:hAnsi="Arial" w:eastAsia="Arial" w:cs="Arial"/>
                <w:color w:val="0D1B2A"/>
                <w:sz w:val="19"/>
                <w:szCs w:val="19"/>
              </w:rPr>
              <w:t>ET-03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7E19F1">
            <w:r>
              <w:rPr>
                <w:rFonts w:ascii="Arial" w:hAnsi="Arial" w:eastAsia="Arial" w:cs="Arial"/>
                <w:color w:val="0D1B2A"/>
                <w:sz w:val="19"/>
                <w:szCs w:val="19"/>
              </w:rPr>
              <w:t>Negative impact on job market fairness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3ED375">
            <w:r>
              <w:rPr>
                <w:rFonts w:ascii="Arial" w:hAnsi="Arial" w:eastAsia="Arial" w:cs="Arial"/>
                <w:color w:val="0D1B2A"/>
                <w:sz w:val="19"/>
                <w:szCs w:val="19"/>
              </w:rPr>
              <w:t>Ethics</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570CA3BE">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12A1517D">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2EF5A5">
            <w:r>
              <w:rPr>
                <w:rFonts w:ascii="Arial" w:hAnsi="Arial" w:eastAsia="Arial" w:cs="Arial"/>
                <w:color w:val="0D1B2A"/>
                <w:sz w:val="19"/>
                <w:szCs w:val="19"/>
              </w:rPr>
              <w:t>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40448B">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DBCB0C">
            <w:r>
              <w:rPr>
                <w:rFonts w:ascii="Arial" w:hAnsi="Arial" w:eastAsia="Arial" w:cs="Arial"/>
                <w:color w:val="0D1B2A"/>
                <w:sz w:val="19"/>
                <w:szCs w:val="19"/>
              </w:rPr>
              <w:t>Product</w:t>
            </w:r>
          </w:p>
        </w:tc>
      </w:tr>
      <w:tr w14:paraId="3A02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3FC51E">
            <w:r>
              <w:rPr>
                <w:rFonts w:ascii="Arial" w:hAnsi="Arial" w:eastAsia="Arial" w:cs="Arial"/>
                <w:color w:val="0D1B2A"/>
                <w:sz w:val="19"/>
                <w:szCs w:val="19"/>
              </w:rPr>
              <w:t>ET-04</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0D800DB">
            <w:r>
              <w:rPr>
                <w:rFonts w:ascii="Arial" w:hAnsi="Arial" w:eastAsia="Arial" w:cs="Arial"/>
                <w:color w:val="0D1B2A"/>
                <w:sz w:val="19"/>
                <w:szCs w:val="19"/>
              </w:rPr>
              <w:t>Enabling spam flooding of recruiters</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B133231">
            <w:r>
              <w:rPr>
                <w:rFonts w:ascii="Arial" w:hAnsi="Arial" w:eastAsia="Arial" w:cs="Arial"/>
                <w:color w:val="0D1B2A"/>
                <w:sz w:val="19"/>
                <w:szCs w:val="19"/>
              </w:rPr>
              <w:t>Ethics</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7F6C9B5C">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71429141">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2399080">
            <w:r>
              <w:rPr>
                <w:rFonts w:ascii="Arial" w:hAnsi="Arial" w:eastAsia="Arial" w:cs="Arial"/>
                <w:color w:val="0D1B2A"/>
                <w:sz w:val="19"/>
                <w:szCs w:val="19"/>
              </w:rPr>
              <w:t>16</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42653E8">
            <w:r>
              <w:rPr>
                <w:rFonts w:ascii="Arial" w:hAnsi="Arial" w:eastAsia="Arial" w:cs="Arial"/>
                <w:color w:val="0D1B2A"/>
                <w:sz w:val="19"/>
                <w:szCs w:val="19"/>
              </w:rPr>
              <w:t>Critical</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96EFAD3">
            <w:r>
              <w:rPr>
                <w:rFonts w:ascii="Arial" w:hAnsi="Arial" w:eastAsia="Arial" w:cs="Arial"/>
                <w:color w:val="0D1B2A"/>
                <w:sz w:val="19"/>
                <w:szCs w:val="19"/>
              </w:rPr>
              <w:t>Product</w:t>
            </w:r>
          </w:p>
        </w:tc>
      </w:tr>
      <w:tr w14:paraId="5331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1CDEFF">
            <w:r>
              <w:rPr>
                <w:rFonts w:ascii="Arial" w:hAnsi="Arial" w:eastAsia="Arial" w:cs="Arial"/>
                <w:color w:val="0D1B2A"/>
                <w:sz w:val="19"/>
                <w:szCs w:val="19"/>
              </w:rPr>
              <w:t>ET-05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3F6746">
            <w:r>
              <w:rPr>
                <w:rFonts w:ascii="Arial" w:hAnsi="Arial" w:eastAsia="Arial" w:cs="Arial"/>
                <w:color w:val="0D1B2A"/>
                <w:sz w:val="19"/>
                <w:szCs w:val="19"/>
              </w:rPr>
              <w:t>Discriminatory AI scoring bias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3638F0">
            <w:r>
              <w:rPr>
                <w:rFonts w:ascii="Arial" w:hAnsi="Arial" w:eastAsia="Arial" w:cs="Arial"/>
                <w:color w:val="0D1B2A"/>
                <w:sz w:val="19"/>
                <w:szCs w:val="19"/>
              </w:rPr>
              <w:t>Ethics</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342DBCD2">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40918195">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733445">
            <w:r>
              <w:rPr>
                <w:rFonts w:ascii="Arial" w:hAnsi="Arial" w:eastAsia="Arial" w:cs="Arial"/>
                <w:color w:val="0D1B2A"/>
                <w:sz w:val="19"/>
                <w:szCs w:val="19"/>
              </w:rPr>
              <w:t>8</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C845AB">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2F7E7E">
            <w:r>
              <w:rPr>
                <w:rFonts w:ascii="Arial" w:hAnsi="Arial" w:eastAsia="Arial" w:cs="Arial"/>
                <w:color w:val="0D1B2A"/>
                <w:sz w:val="19"/>
                <w:szCs w:val="19"/>
              </w:rPr>
              <w:t>Engineering</w:t>
            </w:r>
          </w:p>
        </w:tc>
      </w:tr>
      <w:tr w14:paraId="0F45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B132D11">
            <w:r>
              <w:rPr>
                <w:rFonts w:ascii="Arial" w:hAnsi="Arial" w:eastAsia="Arial" w:cs="Arial"/>
                <w:color w:val="0D1B2A"/>
                <w:sz w:val="19"/>
                <w:szCs w:val="19"/>
              </w:rPr>
              <w:t>LR-01</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B52F583">
            <w:r>
              <w:rPr>
                <w:rFonts w:ascii="Arial" w:hAnsi="Arial" w:eastAsia="Arial" w:cs="Arial"/>
                <w:color w:val="0D1B2A"/>
                <w:sz w:val="19"/>
                <w:szCs w:val="19"/>
              </w:rPr>
              <w:t>Breach of job platform Terms of Service</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197FCCE">
            <w:r>
              <w:rPr>
                <w:rFonts w:ascii="Arial" w:hAnsi="Arial" w:eastAsia="Arial" w:cs="Arial"/>
                <w:color w:val="0D1B2A"/>
                <w:sz w:val="19"/>
                <w:szCs w:val="19"/>
              </w:rPr>
              <w:t>Legal</w:t>
            </w:r>
          </w:p>
        </w:tc>
        <w:tc>
          <w:tcPr>
            <w:tcW w:w="12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62DD0E35">
            <w:r>
              <w:rPr>
                <w:rFonts w:ascii="Arial" w:hAnsi="Arial" w:eastAsia="Arial" w:cs="Arial"/>
                <w:color w:val="0D1B2A"/>
                <w:sz w:val="19"/>
                <w:szCs w:val="19"/>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180C1A43">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D791F7F">
            <w:r>
              <w:rPr>
                <w:rFonts w:ascii="Arial" w:hAnsi="Arial" w:eastAsia="Arial" w:cs="Arial"/>
                <w:color w:val="0D1B2A"/>
                <w:sz w:val="19"/>
                <w:szCs w:val="19"/>
              </w:rPr>
              <w:t>20</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0BF8AD">
            <w:r>
              <w:rPr>
                <w:rFonts w:ascii="Arial" w:hAnsi="Arial" w:eastAsia="Arial" w:cs="Arial"/>
                <w:color w:val="0D1B2A"/>
                <w:sz w:val="19"/>
                <w:szCs w:val="19"/>
              </w:rPr>
              <w:t>Critical</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58E649">
            <w:r>
              <w:rPr>
                <w:rFonts w:ascii="Arial" w:hAnsi="Arial" w:eastAsia="Arial" w:cs="Arial"/>
                <w:color w:val="0D1B2A"/>
                <w:sz w:val="19"/>
                <w:szCs w:val="19"/>
              </w:rPr>
              <w:t>Legal</w:t>
            </w:r>
          </w:p>
        </w:tc>
      </w:tr>
      <w:tr w14:paraId="5D1E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751959">
            <w:r>
              <w:rPr>
                <w:rFonts w:ascii="Arial" w:hAnsi="Arial" w:eastAsia="Arial" w:cs="Arial"/>
                <w:color w:val="0D1B2A"/>
                <w:sz w:val="19"/>
                <w:szCs w:val="19"/>
              </w:rPr>
              <w:t>LR-02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4CD6B1">
            <w:r>
              <w:rPr>
                <w:rFonts w:ascii="Arial" w:hAnsi="Arial" w:eastAsia="Arial" w:cs="Arial"/>
                <w:color w:val="0D1B2A"/>
                <w:sz w:val="19"/>
                <w:szCs w:val="19"/>
              </w:rPr>
              <w:t>GDPR / DPDP Act violation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CF4BA2">
            <w:r>
              <w:rPr>
                <w:rFonts w:ascii="Arial" w:hAnsi="Arial" w:eastAsia="Arial" w:cs="Arial"/>
                <w:color w:val="0D1B2A"/>
                <w:sz w:val="19"/>
                <w:szCs w:val="19"/>
              </w:rPr>
              <w:t>Legal</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6F95ABD0">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0672199C">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1D5D02">
            <w:r>
              <w:rPr>
                <w:rFonts w:ascii="Arial" w:hAnsi="Arial" w:eastAsia="Arial" w:cs="Arial"/>
                <w:color w:val="0D1B2A"/>
                <w:sz w:val="19"/>
                <w:szCs w:val="19"/>
              </w:rPr>
              <w:t>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9B6643">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D1306E">
            <w:r>
              <w:rPr>
                <w:rFonts w:ascii="Arial" w:hAnsi="Arial" w:eastAsia="Arial" w:cs="Arial"/>
                <w:color w:val="0D1B2A"/>
                <w:sz w:val="19"/>
                <w:szCs w:val="19"/>
              </w:rPr>
              <w:t>Legal</w:t>
            </w:r>
          </w:p>
        </w:tc>
      </w:tr>
      <w:tr w14:paraId="3AB8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A170917">
            <w:r>
              <w:rPr>
                <w:rFonts w:ascii="Arial" w:hAnsi="Arial" w:eastAsia="Arial" w:cs="Arial"/>
                <w:color w:val="0D1B2A"/>
                <w:sz w:val="19"/>
                <w:szCs w:val="19"/>
              </w:rPr>
              <w:t>LR-03</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EF2148">
            <w:r>
              <w:rPr>
                <w:rFonts w:ascii="Arial" w:hAnsi="Arial" w:eastAsia="Arial" w:cs="Arial"/>
                <w:color w:val="0D1B2A"/>
                <w:sz w:val="19"/>
                <w:szCs w:val="19"/>
              </w:rPr>
              <w:t>Liability for incorrect application submission</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B7A8D5">
            <w:r>
              <w:rPr>
                <w:rFonts w:ascii="Arial" w:hAnsi="Arial" w:eastAsia="Arial" w:cs="Arial"/>
                <w:color w:val="0D1B2A"/>
                <w:sz w:val="19"/>
                <w:szCs w:val="19"/>
              </w:rPr>
              <w:t>Legal</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2D544A25">
            <w:r>
              <w:rPr>
                <w:rFonts w:ascii="Arial" w:hAnsi="Arial" w:eastAsia="Arial" w:cs="Arial"/>
                <w:color w:val="0D1B2A"/>
                <w:sz w:val="19"/>
                <w:szCs w:val="19"/>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1E411C18">
            <w:r>
              <w:rPr>
                <w:rFonts w:ascii="Arial" w:hAnsi="Arial" w:eastAsia="Arial" w:cs="Arial"/>
                <w:color w:val="0D1B2A"/>
                <w:sz w:val="19"/>
                <w:szCs w:val="19"/>
              </w:rPr>
              <w:t>4</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DA7F048">
            <w:r>
              <w:rPr>
                <w:rFonts w:ascii="Arial" w:hAnsi="Arial" w:eastAsia="Arial" w:cs="Arial"/>
                <w:color w:val="0D1B2A"/>
                <w:sz w:val="19"/>
                <w:szCs w:val="19"/>
              </w:rPr>
              <w:t>12</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61F9DF3">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06423E">
            <w:r>
              <w:rPr>
                <w:rFonts w:ascii="Arial" w:hAnsi="Arial" w:eastAsia="Arial" w:cs="Arial"/>
                <w:color w:val="0D1B2A"/>
                <w:sz w:val="19"/>
                <w:szCs w:val="19"/>
              </w:rPr>
              <w:t>Legal</w:t>
            </w:r>
          </w:p>
        </w:tc>
      </w:tr>
      <w:tr w14:paraId="5000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8D3A88">
            <w:r>
              <w:rPr>
                <w:rFonts w:ascii="Arial" w:hAnsi="Arial" w:eastAsia="Arial" w:cs="Arial"/>
                <w:color w:val="0D1B2A"/>
                <w:sz w:val="19"/>
                <w:szCs w:val="19"/>
              </w:rPr>
              <w:t>LR-04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5EEC14">
            <w:r>
              <w:rPr>
                <w:rFonts w:ascii="Arial" w:hAnsi="Arial" w:eastAsia="Arial" w:cs="Arial"/>
                <w:color w:val="0D1B2A"/>
                <w:sz w:val="19"/>
                <w:szCs w:val="19"/>
              </w:rPr>
              <w:t>CFAA / Computer Fraud liability (US)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C280FF">
            <w:r>
              <w:rPr>
                <w:rFonts w:ascii="Arial" w:hAnsi="Arial" w:eastAsia="Arial" w:cs="Arial"/>
                <w:color w:val="0D1B2A"/>
                <w:sz w:val="19"/>
                <w:szCs w:val="19"/>
              </w:rPr>
              <w:t>Legal</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796AB4FC">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28D0EC36">
            <w:r>
              <w:rPr>
                <w:rFonts w:ascii="Arial" w:hAnsi="Arial" w:eastAsia="Arial" w:cs="Arial"/>
                <w:color w:val="0D1B2A"/>
                <w:sz w:val="19"/>
                <w:szCs w:val="19"/>
              </w:rPr>
              <w:t>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52C6FA">
            <w:r>
              <w:rPr>
                <w:rFonts w:ascii="Arial" w:hAnsi="Arial" w:eastAsia="Arial" w:cs="Arial"/>
                <w:color w:val="0D1B2A"/>
                <w:sz w:val="19"/>
                <w:szCs w:val="19"/>
              </w:rPr>
              <w:t>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DE7240">
            <w:r>
              <w:rPr>
                <w:rFonts w:ascii="Arial" w:hAnsi="Arial" w:eastAsia="Arial" w:cs="Arial"/>
                <w:color w:val="0D1B2A"/>
                <w:sz w:val="19"/>
                <w:szCs w:val="19"/>
              </w:rPr>
              <w:t>High</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946D8B">
            <w:r>
              <w:rPr>
                <w:rFonts w:ascii="Arial" w:hAnsi="Arial" w:eastAsia="Arial" w:cs="Arial"/>
                <w:color w:val="0D1B2A"/>
                <w:sz w:val="19"/>
                <w:szCs w:val="19"/>
              </w:rPr>
              <w:t>Legal</w:t>
            </w:r>
          </w:p>
        </w:tc>
      </w:tr>
      <w:tr w14:paraId="6321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2FB7B14">
            <w:r>
              <w:rPr>
                <w:rFonts w:ascii="Arial" w:hAnsi="Arial" w:eastAsia="Arial" w:cs="Arial"/>
                <w:color w:val="0D1B2A"/>
                <w:sz w:val="19"/>
                <w:szCs w:val="19"/>
              </w:rPr>
              <w:t>LR-05</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52242E2">
            <w:r>
              <w:rPr>
                <w:rFonts w:ascii="Arial" w:hAnsi="Arial" w:eastAsia="Arial" w:cs="Arial"/>
                <w:color w:val="0D1B2A"/>
                <w:sz w:val="19"/>
                <w:szCs w:val="19"/>
              </w:rPr>
              <w:t>AI-generated content copyright liability</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2674BD4">
            <w:r>
              <w:rPr>
                <w:rFonts w:ascii="Arial" w:hAnsi="Arial" w:eastAsia="Arial" w:cs="Arial"/>
                <w:color w:val="0D1B2A"/>
                <w:sz w:val="19"/>
                <w:szCs w:val="19"/>
              </w:rPr>
              <w:t>Legal</w:t>
            </w:r>
          </w:p>
        </w:tc>
        <w:tc>
          <w:tcPr>
            <w:tcW w:w="1200" w:type="dxa"/>
            <w:tcBorders>
              <w:top w:val="single" w:color="CCCCCC" w:sz="0" w:space="0"/>
              <w:left w:val="single" w:color="CCCCCC" w:sz="0" w:space="0"/>
              <w:bottom w:val="single" w:color="CCCCCC" w:sz="0" w:space="0"/>
              <w:right w:val="single" w:color="CCCCCC" w:sz="0" w:space="0"/>
            </w:tcBorders>
            <w:shd w:val="clear" w:color="auto" w:fill="EAFAF1"/>
            <w:tcMar>
              <w:top w:w="80" w:type="dxa"/>
              <w:left w:w="140" w:type="dxa"/>
              <w:bottom w:w="80" w:type="dxa"/>
              <w:right w:w="140" w:type="dxa"/>
            </w:tcMar>
          </w:tcPr>
          <w:p w14:paraId="3D83E8CA">
            <w:r>
              <w:rPr>
                <w:rFonts w:ascii="Arial" w:hAnsi="Arial" w:eastAsia="Arial" w:cs="Arial"/>
                <w:color w:val="0D1B2A"/>
                <w:sz w:val="19"/>
                <w:szCs w:val="19"/>
              </w:rPr>
              <w:t>2</w:t>
            </w:r>
          </w:p>
        </w:tc>
        <w:tc>
          <w:tcPr>
            <w:tcW w:w="11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40" w:type="dxa"/>
              <w:bottom w:w="80" w:type="dxa"/>
              <w:right w:w="140" w:type="dxa"/>
            </w:tcMar>
          </w:tcPr>
          <w:p w14:paraId="78EF1D7E">
            <w:r>
              <w:rPr>
                <w:rFonts w:ascii="Arial" w:hAnsi="Arial" w:eastAsia="Arial" w:cs="Arial"/>
                <w:color w:val="0D1B2A"/>
                <w:sz w:val="19"/>
                <w:szCs w:val="19"/>
              </w:rPr>
              <w:t>3</w:t>
            </w:r>
          </w:p>
        </w:tc>
        <w:tc>
          <w:tcPr>
            <w:tcW w:w="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1549519">
            <w:r>
              <w:rPr>
                <w:rFonts w:ascii="Arial" w:hAnsi="Arial" w:eastAsia="Arial" w:cs="Arial"/>
                <w:color w:val="0D1B2A"/>
                <w:sz w:val="19"/>
                <w:szCs w:val="19"/>
              </w:rPr>
              <w:t>6</w:t>
            </w:r>
          </w:p>
        </w:tc>
        <w:tc>
          <w:tcPr>
            <w:tcW w:w="1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81FBB5">
            <w:r>
              <w:rPr>
                <w:rFonts w:ascii="Arial" w:hAnsi="Arial" w:eastAsia="Arial" w:cs="Arial"/>
                <w:color w:val="0D1B2A"/>
                <w:sz w:val="19"/>
                <w:szCs w:val="19"/>
              </w:rPr>
              <w:t>Medium</w:t>
            </w:r>
          </w:p>
        </w:tc>
        <w:tc>
          <w:tcPr>
            <w:tcW w:w="1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74D68B">
            <w:r>
              <w:rPr>
                <w:rFonts w:ascii="Arial" w:hAnsi="Arial" w:eastAsia="Arial" w:cs="Arial"/>
                <w:color w:val="0D1B2A"/>
                <w:sz w:val="19"/>
                <w:szCs w:val="19"/>
              </w:rPr>
              <w:t>Legal</w:t>
            </w:r>
          </w:p>
        </w:tc>
      </w:tr>
    </w:tbl>
    <w:p w14:paraId="4E422BC2">
      <w:pPr>
        <w:spacing w:before="0" w:after="240"/>
      </w:pPr>
    </w:p>
    <w:p w14:paraId="5955E2E6">
      <w:pPr>
        <w:pStyle w:val="2"/>
        <w:spacing w:before="400" w:after="160"/>
      </w:pPr>
      <w:r>
        <w:rPr>
          <w:rFonts w:ascii="Arial" w:hAnsi="Arial" w:eastAsia="Arial" w:cs="Arial"/>
          <w:b/>
          <w:bCs/>
          <w:color w:val="0D1B2A"/>
          <w:sz w:val="32"/>
          <w:szCs w:val="32"/>
        </w:rPr>
        <w:t>3. Technical Risks</w:t>
      </w:r>
    </w:p>
    <w:p w14:paraId="2B072270">
      <w:pPr>
        <w:spacing w:before="0" w:after="120"/>
      </w:pPr>
    </w:p>
    <w:p w14:paraId="37041C09">
      <w:pPr>
        <w:pStyle w:val="3"/>
        <w:spacing w:before="300" w:after="120"/>
      </w:pPr>
      <w:r>
        <w:rPr>
          <w:rFonts w:ascii="Arial" w:hAnsi="Arial" w:eastAsia="Arial" w:cs="Arial"/>
          <w:b/>
          <w:bCs/>
          <w:color w:val="1B3A5C"/>
          <w:sz w:val="26"/>
          <w:szCs w:val="26"/>
        </w:rPr>
        <w:t>3.1 TR-01 — Job Platform IP Ban / Account Block (Critical)</w:t>
      </w:r>
    </w:p>
    <w:p w14:paraId="684FA85D">
      <w:pPr>
        <w:spacing w:before="60" w:after="80"/>
      </w:pPr>
      <w:r>
        <w:rPr>
          <w:rFonts w:ascii="Arial" w:hAnsi="Arial" w:eastAsia="Arial" w:cs="Arial"/>
          <w:sz w:val="22"/>
          <w:szCs w:val="22"/>
        </w:rPr>
        <w:t>Job platforms including LinkedIn, Indeed, and Naukri actively detect and block automated access. Detection signals include: high request velocity from a single IP, identical User-Agent strings, missing browser fingerprint entropy, linear scroll patterns, and form submission timing that is too consistent.</w:t>
      </w:r>
    </w:p>
    <w:p w14:paraId="782F176C">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F04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103DEB4">
            <w:r>
              <w:rPr>
                <w:rFonts w:ascii="Arial" w:hAnsi="Arial" w:eastAsia="Arial" w:cs="Arial"/>
                <w:b/>
                <w:bCs/>
                <w:color w:val="FFFFFF"/>
                <w:sz w:val="20"/>
                <w:szCs w:val="20"/>
              </w:rPr>
              <w:t>Attribute</w:t>
            </w:r>
          </w:p>
        </w:tc>
        <w:tc>
          <w:tcPr>
            <w:tcW w:w="73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E68E875">
            <w:r>
              <w:rPr>
                <w:rFonts w:ascii="Arial" w:hAnsi="Arial" w:eastAsia="Arial" w:cs="Arial"/>
                <w:b/>
                <w:bCs/>
                <w:color w:val="FFFFFF"/>
                <w:sz w:val="20"/>
                <w:szCs w:val="20"/>
              </w:rPr>
              <w:t>Detail</w:t>
            </w:r>
          </w:p>
        </w:tc>
      </w:tr>
      <w:tr w14:paraId="02D2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7D1399">
            <w:r>
              <w:rPr>
                <w:rFonts w:ascii="Arial" w:hAnsi="Arial" w:eastAsia="Arial" w:cs="Arial"/>
                <w:color w:val="0D1B2A"/>
                <w:sz w:val="20"/>
                <w:szCs w:val="20"/>
              </w:rPr>
              <w:t>Likelihood</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174C3C">
            <w:r>
              <w:rPr>
                <w:rFonts w:ascii="Arial" w:hAnsi="Arial" w:eastAsia="Arial" w:cs="Arial"/>
                <w:color w:val="0D1B2A"/>
                <w:sz w:val="20"/>
                <w:szCs w:val="20"/>
              </w:rPr>
              <w:t>4 / 5 — LinkedIn has already banned multiple automation tools. Indeed blocks IPs within hours of pattern detection.</w:t>
            </w:r>
          </w:p>
        </w:tc>
      </w:tr>
      <w:tr w14:paraId="5F72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E3D72A2">
            <w:r>
              <w:rPr>
                <w:rFonts w:ascii="Arial" w:hAnsi="Arial" w:eastAsia="Arial" w:cs="Arial"/>
                <w:color w:val="0D1B2A"/>
                <w:sz w:val="20"/>
                <w:szCs w:val="20"/>
              </w:rPr>
              <w:t>Impact</w:t>
            </w:r>
          </w:p>
        </w:tc>
        <w:tc>
          <w:tcPr>
            <w:tcW w:w="7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1D4A1C7">
            <w:r>
              <w:rPr>
                <w:rFonts w:ascii="Arial" w:hAnsi="Arial" w:eastAsia="Arial" w:cs="Arial"/>
                <w:color w:val="0D1B2A"/>
                <w:sz w:val="20"/>
                <w:szCs w:val="20"/>
              </w:rPr>
              <w:t>5 / 5 — A platform-wide ban eliminates an entire job source. LinkedIn ban alone removes ~40% of premium job listings.</w:t>
            </w:r>
          </w:p>
        </w:tc>
      </w:tr>
      <w:tr w14:paraId="452E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B9A3BE">
            <w:r>
              <w:rPr>
                <w:rFonts w:ascii="Arial" w:hAnsi="Arial" w:eastAsia="Arial" w:cs="Arial"/>
                <w:color w:val="0D1B2A"/>
                <w:sz w:val="20"/>
                <w:szCs w:val="20"/>
              </w:rPr>
              <w:t>Detection Signals</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68A8F6">
            <w:r>
              <w:rPr>
                <w:rFonts w:ascii="Arial" w:hAnsi="Arial" w:eastAsia="Arial" w:cs="Arial"/>
                <w:color w:val="0D1B2A"/>
                <w:sz w:val="20"/>
                <w:szCs w:val="20"/>
              </w:rPr>
              <w:t>Fixed IP ranges, missing navigator.webdriver, no cookie jar, identical timing deltas between form fields.</w:t>
            </w:r>
          </w:p>
        </w:tc>
      </w:tr>
      <w:tr w14:paraId="50EC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A5637C">
            <w:r>
              <w:rPr>
                <w:rFonts w:ascii="Arial" w:hAnsi="Arial" w:eastAsia="Arial" w:cs="Arial"/>
                <w:color w:val="0D1B2A"/>
                <w:sz w:val="20"/>
                <w:szCs w:val="20"/>
              </w:rPr>
              <w:t>Current Mitigations</w:t>
            </w:r>
          </w:p>
        </w:tc>
        <w:tc>
          <w:tcPr>
            <w:tcW w:w="7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40972B">
            <w:r>
              <w:rPr>
                <w:rFonts w:ascii="Arial" w:hAnsi="Arial" w:eastAsia="Arial" w:cs="Arial"/>
                <w:color w:val="0D1B2A"/>
                <w:sz w:val="20"/>
                <w:szCs w:val="20"/>
              </w:rPr>
              <w:t>Rotating residential proxies via BrightData (DOC-04), per-user browser profiles, randomised timing jitter (800ms–3.5s).</w:t>
            </w:r>
          </w:p>
        </w:tc>
      </w:tr>
      <w:tr w14:paraId="682C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CC7870">
            <w:r>
              <w:rPr>
                <w:rFonts w:ascii="Arial" w:hAnsi="Arial" w:eastAsia="Arial" w:cs="Arial"/>
                <w:color w:val="0D1B2A"/>
                <w:sz w:val="20"/>
                <w:szCs w:val="20"/>
              </w:rPr>
              <w:t>Residual Risk</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F1B162">
            <w:r>
              <w:rPr>
                <w:rFonts w:ascii="Arial" w:hAnsi="Arial" w:eastAsia="Arial" w:cs="Arial"/>
                <w:color w:val="0D1B2A"/>
                <w:sz w:val="20"/>
                <w:szCs w:val="20"/>
              </w:rPr>
              <w:t>Residential proxies can still be fingerprinted. Platforms can require JS challenges that proxies cannot solve.</w:t>
            </w:r>
          </w:p>
        </w:tc>
      </w:tr>
    </w:tbl>
    <w:p w14:paraId="34E4C46B">
      <w:pPr>
        <w:spacing w:before="0" w:after="160"/>
      </w:pPr>
    </w:p>
    <w:p w14:paraId="66C95006">
      <w:pPr>
        <w:pStyle w:val="4"/>
        <w:spacing w:before="200" w:after="100"/>
      </w:pPr>
      <w:r>
        <w:rPr>
          <w:rFonts w:ascii="Arial" w:hAnsi="Arial" w:eastAsia="Arial" w:cs="Arial"/>
          <w:b/>
          <w:bCs/>
          <w:color w:val="2E75B6"/>
          <w:sz w:val="22"/>
          <w:szCs w:val="22"/>
        </w:rPr>
        <w:t>Mitigation Strategy — TR-01</w:t>
      </w:r>
    </w:p>
    <w:p w14:paraId="25F34825">
      <w:pPr>
        <w:pStyle w:val="16"/>
        <w:numPr>
          <w:ilvl w:val="0"/>
          <w:numId w:val="1"/>
        </w:numPr>
        <w:spacing w:before="40" w:after="40"/>
      </w:pPr>
      <w:r>
        <w:rPr>
          <w:rFonts w:ascii="Arial" w:hAnsi="Arial" w:eastAsia="Arial" w:cs="Arial"/>
          <w:sz w:val="22"/>
          <w:szCs w:val="22"/>
        </w:rPr>
        <w:t>Proxy rotation: Rotate IP per user session using BrightData residential pool. Never reuse an IP within the same calendar day for the same platform.</w:t>
      </w:r>
    </w:p>
    <w:p w14:paraId="6CF3AC45">
      <w:pPr>
        <w:pStyle w:val="16"/>
        <w:numPr>
          <w:ilvl w:val="0"/>
          <w:numId w:val="1"/>
        </w:numPr>
        <w:spacing w:before="40" w:after="40"/>
      </w:pPr>
      <w:r>
        <w:rPr>
          <w:rFonts w:ascii="Arial" w:hAnsi="Arial" w:eastAsia="Arial" w:cs="Arial"/>
          <w:sz w:val="22"/>
          <w:szCs w:val="22"/>
        </w:rPr>
        <w:t>Browser fingerprint randomisation: Randomise canvas fingerprint, WebGL renderer string, screen resolution, timezone, and installed font list per session using Playwright stealth plugin.</w:t>
      </w:r>
    </w:p>
    <w:p w14:paraId="0511002A">
      <w:pPr>
        <w:pStyle w:val="16"/>
        <w:numPr>
          <w:ilvl w:val="0"/>
          <w:numId w:val="1"/>
        </w:numPr>
        <w:spacing w:before="40" w:after="40"/>
      </w:pPr>
      <w:r>
        <w:rPr>
          <w:rFonts w:ascii="Arial" w:hAnsi="Arial" w:eastAsia="Arial" w:cs="Arial"/>
          <w:sz w:val="22"/>
          <w:szCs w:val="22"/>
        </w:rPr>
        <w:t>Rate capping by platform: Enforce max 3 applications per user per platform per day. LinkedIn capped at 2/day.</w:t>
      </w:r>
    </w:p>
    <w:p w14:paraId="15A347F7">
      <w:pPr>
        <w:pStyle w:val="16"/>
        <w:numPr>
          <w:ilvl w:val="0"/>
          <w:numId w:val="1"/>
        </w:numPr>
        <w:spacing w:before="40" w:after="40"/>
      </w:pPr>
      <w:r>
        <w:rPr>
          <w:rFonts w:ascii="Arial" w:hAnsi="Arial" w:eastAsia="Arial" w:cs="Arial"/>
          <w:sz w:val="22"/>
          <w:szCs w:val="22"/>
        </w:rPr>
        <w:t>Cookie persistence: Maintain authenticated cookie jar per user per platform in GCS. Reload cookies at session start to appear as returning user.</w:t>
      </w:r>
    </w:p>
    <w:p w14:paraId="04DDD3B2">
      <w:pPr>
        <w:pStyle w:val="16"/>
        <w:numPr>
          <w:ilvl w:val="0"/>
          <w:numId w:val="1"/>
        </w:numPr>
        <w:spacing w:before="40" w:after="40"/>
      </w:pPr>
      <w:r>
        <w:rPr>
          <w:rFonts w:ascii="Arial" w:hAnsi="Arial" w:eastAsia="Arial" w:cs="Arial"/>
          <w:sz w:val="22"/>
          <w:szCs w:val="22"/>
        </w:rPr>
        <w:t>Human-like timing: Gaussian-distributed delays between keystrokes (mean 120ms, std 40ms). Random micro-pauses during form navigation.</w:t>
      </w:r>
    </w:p>
    <w:p w14:paraId="294A271E">
      <w:pPr>
        <w:pStyle w:val="16"/>
        <w:numPr>
          <w:ilvl w:val="0"/>
          <w:numId w:val="1"/>
        </w:numPr>
        <w:spacing w:before="40" w:after="40"/>
      </w:pPr>
      <w:r>
        <w:rPr>
          <w:rFonts w:ascii="Arial" w:hAnsi="Arial" w:eastAsia="Arial" w:cs="Arial"/>
          <w:sz w:val="22"/>
          <w:szCs w:val="22"/>
        </w:rPr>
        <w:t>Platform health monitoring: n8n WF-009 checks apply success rates per platform hourly. If success rate drops below 70% on any platform, pause that source and alert engineering.</w:t>
      </w:r>
    </w:p>
    <w:p w14:paraId="658042BB">
      <w:pPr>
        <w:pStyle w:val="16"/>
        <w:numPr>
          <w:ilvl w:val="0"/>
          <w:numId w:val="1"/>
        </w:numPr>
        <w:spacing w:before="40" w:after="40"/>
      </w:pPr>
      <w:r>
        <w:rPr>
          <w:rFonts w:ascii="Arial" w:hAnsi="Arial" w:eastAsia="Arial" w:cs="Arial"/>
          <w:sz w:val="22"/>
          <w:szCs w:val="22"/>
        </w:rPr>
        <w:t>Fallback degradation: If LinkedIn is blocked, redistribute job quota to Adzuna + Dice. User is notified of source change transparently.</w:t>
      </w:r>
    </w:p>
    <w:p w14:paraId="1B4EE21E">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5F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0392B" w:sz="18" w:space="0"/>
              <w:bottom w:val="single" w:color="CCCCCC" w:sz="0" w:space="0"/>
              <w:right w:val="single" w:color="CCCCCC" w:sz="0" w:space="0"/>
            </w:tcBorders>
            <w:shd w:val="clear" w:color="auto" w:fill="FDECEA"/>
            <w:tcMar>
              <w:top w:w="120" w:type="dxa"/>
              <w:left w:w="200" w:type="dxa"/>
              <w:bottom w:w="120" w:type="dxa"/>
              <w:right w:w="120" w:type="dxa"/>
            </w:tcMar>
          </w:tcPr>
          <w:p w14:paraId="7FC1A176">
            <w:pPr>
              <w:spacing w:before="40" w:after="40"/>
            </w:pPr>
            <w:r>
              <w:rPr>
                <w:rFonts w:ascii="Arial" w:hAnsi="Arial" w:eastAsia="Arial" w:cs="Arial"/>
                <w:color w:val="1B3A5C"/>
                <w:sz w:val="20"/>
                <w:szCs w:val="20"/>
              </w:rPr>
              <w:t>CRITICAL: LinkedIn explicitly prohibits automated access in its User Agreement Section 8.2.</w:t>
            </w:r>
          </w:p>
          <w:p w14:paraId="6FD092F6">
            <w:pPr>
              <w:spacing w:before="40" w:after="40"/>
            </w:pPr>
            <w:r>
              <w:rPr>
                <w:rFonts w:ascii="Arial" w:hAnsi="Arial" w:eastAsia="Arial" w:cs="Arial"/>
                <w:color w:val="1B3A5C"/>
                <w:sz w:val="20"/>
                <w:szCs w:val="20"/>
              </w:rPr>
              <w:t>Legal exposure exists regardless of technical success. See LR-01 for full legal risk analysis.</w:t>
            </w:r>
          </w:p>
          <w:p w14:paraId="53E17D08">
            <w:pPr>
              <w:spacing w:before="40" w:after="40"/>
            </w:pPr>
            <w:r>
              <w:rPr>
                <w:rFonts w:ascii="Arial" w:hAnsi="Arial" w:eastAsia="Arial" w:cs="Arial"/>
                <w:color w:val="1B3A5C"/>
                <w:sz w:val="20"/>
                <w:szCs w:val="20"/>
              </w:rPr>
              <w:t>Recommendation: Treat LinkedIn as optional/premium source. Default to Adzuna + Indeed + Dice for Tier-0.</w:t>
            </w:r>
          </w:p>
        </w:tc>
      </w:tr>
    </w:tbl>
    <w:p w14:paraId="13A79420">
      <w:pPr>
        <w:spacing w:before="0" w:after="240"/>
      </w:pPr>
    </w:p>
    <w:p w14:paraId="14495BF7">
      <w:pPr>
        <w:pStyle w:val="3"/>
        <w:spacing w:before="300" w:after="120"/>
      </w:pPr>
      <w:r>
        <w:rPr>
          <w:rFonts w:ascii="Arial" w:hAnsi="Arial" w:eastAsia="Arial" w:cs="Arial"/>
          <w:b/>
          <w:bCs/>
          <w:color w:val="1B3A5C"/>
          <w:sz w:val="26"/>
          <w:szCs w:val="26"/>
        </w:rPr>
        <w:t>3.2 TR-02 — CAPTCHA / Bot-Detection Bypass Failure (Critical)</w:t>
      </w:r>
    </w:p>
    <w:p w14:paraId="72D6D3A7">
      <w:pPr>
        <w:spacing w:before="60" w:after="80"/>
      </w:pPr>
      <w:r>
        <w:rPr>
          <w:rFonts w:ascii="Arial" w:hAnsi="Arial" w:eastAsia="Arial" w:cs="Arial"/>
          <w:sz w:val="22"/>
          <w:szCs w:val="22"/>
        </w:rPr>
        <w:t>Modern CAPTCHA systems (reCAPTCHA v3, hCaptcha, Cloudflare Turnstile) use behavioural signals, not just image challenges. A score below threshold triggers hard blocks or shadow-banning — where submissions appear to succeed but are silently dropped.</w:t>
      </w:r>
    </w:p>
    <w:p w14:paraId="058F27AD">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400"/>
        <w:gridCol w:w="1400"/>
        <w:gridCol w:w="1760"/>
      </w:tblGrid>
      <w:tr w14:paraId="14F9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0A428C5">
            <w:r>
              <w:rPr>
                <w:rFonts w:ascii="Arial" w:hAnsi="Arial" w:eastAsia="Arial" w:cs="Arial"/>
                <w:b/>
                <w:bCs/>
                <w:color w:val="FFFFFF"/>
                <w:sz w:val="20"/>
                <w:szCs w:val="20"/>
              </w:rPr>
              <w:t>CAPTCHA Type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FF03B9B">
            <w:r>
              <w:rPr>
                <w:rFonts w:ascii="Arial" w:hAnsi="Arial" w:eastAsia="Arial" w:cs="Arial"/>
                <w:b/>
                <w:bCs/>
                <w:color w:val="FFFFFF"/>
                <w:sz w:val="20"/>
                <w:szCs w:val="20"/>
              </w:rPr>
              <w:t>Platform Usage</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F154E1C">
            <w:r>
              <w:rPr>
                <w:rFonts w:ascii="Arial" w:hAnsi="Arial" w:eastAsia="Arial" w:cs="Arial"/>
                <w:b/>
                <w:bCs/>
                <w:color w:val="FFFFFF"/>
                <w:sz w:val="20"/>
                <w:szCs w:val="20"/>
              </w:rPr>
              <w:t>Bypass Approach</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C7941ED">
            <w:r>
              <w:rPr>
                <w:rFonts w:ascii="Arial" w:hAnsi="Arial" w:eastAsia="Arial" w:cs="Arial"/>
                <w:b/>
                <w:bCs/>
                <w:color w:val="FFFFFF"/>
                <w:sz w:val="20"/>
                <w:szCs w:val="20"/>
              </w:rPr>
              <w:t>Success Rate</w:t>
            </w:r>
          </w:p>
        </w:tc>
        <w:tc>
          <w:tcPr>
            <w:tcW w:w="17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91FCCD9">
            <w:r>
              <w:rPr>
                <w:rFonts w:ascii="Arial" w:hAnsi="Arial" w:eastAsia="Arial" w:cs="Arial"/>
                <w:b/>
                <w:bCs/>
                <w:color w:val="FFFFFF"/>
                <w:sz w:val="20"/>
                <w:szCs w:val="20"/>
              </w:rPr>
              <w:t>Cost/Solve</w:t>
            </w:r>
          </w:p>
        </w:tc>
      </w:tr>
      <w:tr w14:paraId="4C68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EF23E1">
            <w:r>
              <w:rPr>
                <w:rFonts w:ascii="Arial" w:hAnsi="Arial" w:eastAsia="Arial" w:cs="Arial"/>
                <w:color w:val="0D1B2A"/>
                <w:sz w:val="20"/>
                <w:szCs w:val="20"/>
              </w:rPr>
              <w:t>reCAPTCHA v2 (image)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85F5B6">
            <w:r>
              <w:rPr>
                <w:rFonts w:ascii="Arial" w:hAnsi="Arial" w:eastAsia="Arial" w:cs="Arial"/>
                <w:color w:val="0D1B2A"/>
                <w:sz w:val="20"/>
                <w:szCs w:val="20"/>
              </w:rPr>
              <w:t>Taleo, iCIMS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5AB7AC">
            <w:r>
              <w:rPr>
                <w:rFonts w:ascii="Arial" w:hAnsi="Arial" w:eastAsia="Arial" w:cs="Arial"/>
                <w:color w:val="0D1B2A"/>
                <w:sz w:val="20"/>
                <w:szCs w:val="20"/>
              </w:rPr>
              <w:t>2Captcha API (human solvers)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54C80C">
            <w:r>
              <w:rPr>
                <w:rFonts w:ascii="Arial" w:hAnsi="Arial" w:eastAsia="Arial" w:cs="Arial"/>
                <w:color w:val="0D1B2A"/>
                <w:sz w:val="20"/>
                <w:szCs w:val="20"/>
              </w:rPr>
              <w:t>96%</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449DDD">
            <w:r>
              <w:rPr>
                <w:rFonts w:ascii="Arial" w:hAnsi="Arial" w:eastAsia="Arial" w:cs="Arial"/>
                <w:color w:val="0D1B2A"/>
                <w:sz w:val="20"/>
                <w:szCs w:val="20"/>
              </w:rPr>
              <w:t>$0.00099</w:t>
            </w:r>
          </w:p>
        </w:tc>
      </w:tr>
      <w:tr w14:paraId="3150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146B45">
            <w:r>
              <w:rPr>
                <w:rFonts w:ascii="Arial" w:hAnsi="Arial" w:eastAsia="Arial" w:cs="Arial"/>
                <w:color w:val="0D1B2A"/>
                <w:sz w:val="20"/>
                <w:szCs w:val="20"/>
              </w:rPr>
              <w:t>reCAPTCHA v3 (score)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F3FC4F">
            <w:r>
              <w:rPr>
                <w:rFonts w:ascii="Arial" w:hAnsi="Arial" w:eastAsia="Arial" w:cs="Arial"/>
                <w:color w:val="0D1B2A"/>
                <w:sz w:val="20"/>
                <w:szCs w:val="20"/>
              </w:rPr>
              <w:t>Workday, Lever</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F6B8CE4">
            <w:r>
              <w:rPr>
                <w:rFonts w:ascii="Arial" w:hAnsi="Arial" w:eastAsia="Arial" w:cs="Arial"/>
                <w:color w:val="0D1B2A"/>
                <w:sz w:val="20"/>
                <w:szCs w:val="20"/>
              </w:rPr>
              <w:t>Session warmup + cookie reuse</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4EF368">
            <w:r>
              <w:rPr>
                <w:rFonts w:ascii="Arial" w:hAnsi="Arial" w:eastAsia="Arial" w:cs="Arial"/>
                <w:color w:val="0D1B2A"/>
                <w:sz w:val="20"/>
                <w:szCs w:val="20"/>
              </w:rPr>
              <w:t>78%</w:t>
            </w:r>
          </w:p>
        </w:tc>
        <w:tc>
          <w:tcPr>
            <w:tcW w:w="1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CA5B164">
            <w:r>
              <w:rPr>
                <w:rFonts w:ascii="Arial" w:hAnsi="Arial" w:eastAsia="Arial" w:cs="Arial"/>
                <w:color w:val="0D1B2A"/>
                <w:sz w:val="20"/>
                <w:szCs w:val="20"/>
              </w:rPr>
              <w:t>$0</w:t>
            </w:r>
          </w:p>
        </w:tc>
      </w:tr>
      <w:tr w14:paraId="39B6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9BF9C6">
            <w:r>
              <w:rPr>
                <w:rFonts w:ascii="Arial" w:hAnsi="Arial" w:eastAsia="Arial" w:cs="Arial"/>
                <w:color w:val="0D1B2A"/>
                <w:sz w:val="20"/>
                <w:szCs w:val="20"/>
              </w:rPr>
              <w:t>hCaptcha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F4203E">
            <w:r>
              <w:rPr>
                <w:rFonts w:ascii="Arial" w:hAnsi="Arial" w:eastAsia="Arial" w:cs="Arial"/>
                <w:color w:val="0D1B2A"/>
                <w:sz w:val="20"/>
                <w:szCs w:val="20"/>
              </w:rPr>
              <w:t>Some ATS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42C85E">
            <w:r>
              <w:rPr>
                <w:rFonts w:ascii="Arial" w:hAnsi="Arial" w:eastAsia="Arial" w:cs="Arial"/>
                <w:color w:val="0D1B2A"/>
                <w:sz w:val="20"/>
                <w:szCs w:val="20"/>
              </w:rPr>
              <w:t>CapSolver API</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D2BD07">
            <w:r>
              <w:rPr>
                <w:rFonts w:ascii="Arial" w:hAnsi="Arial" w:eastAsia="Arial" w:cs="Arial"/>
                <w:color w:val="0D1B2A"/>
                <w:sz w:val="20"/>
                <w:szCs w:val="20"/>
              </w:rPr>
              <w:t>91%</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BF7198">
            <w:r>
              <w:rPr>
                <w:rFonts w:ascii="Arial" w:hAnsi="Arial" w:eastAsia="Arial" w:cs="Arial"/>
                <w:color w:val="0D1B2A"/>
                <w:sz w:val="20"/>
                <w:szCs w:val="20"/>
              </w:rPr>
              <w:t>$0.00145</w:t>
            </w:r>
          </w:p>
        </w:tc>
      </w:tr>
      <w:tr w14:paraId="0665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3C50AF2">
            <w:r>
              <w:rPr>
                <w:rFonts w:ascii="Arial" w:hAnsi="Arial" w:eastAsia="Arial" w:cs="Arial"/>
                <w:color w:val="0D1B2A"/>
                <w:sz w:val="20"/>
                <w:szCs w:val="20"/>
              </w:rPr>
              <w:t>Cloudflare Turnstile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2B69B4F">
            <w:r>
              <w:rPr>
                <w:rFonts w:ascii="Arial" w:hAnsi="Arial" w:eastAsia="Arial" w:cs="Arial"/>
                <w:color w:val="0D1B2A"/>
                <w:sz w:val="20"/>
                <w:szCs w:val="20"/>
              </w:rPr>
              <w:t>Greenhouse CDN</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33C569">
            <w:r>
              <w:rPr>
                <w:rFonts w:ascii="Arial" w:hAnsi="Arial" w:eastAsia="Arial" w:cs="Arial"/>
                <w:color w:val="0D1B2A"/>
                <w:sz w:val="20"/>
                <w:szCs w:val="20"/>
              </w:rPr>
              <w:t>Browser fingerprint spoofing</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8DB294E">
            <w:r>
              <w:rPr>
                <w:rFonts w:ascii="Arial" w:hAnsi="Arial" w:eastAsia="Arial" w:cs="Arial"/>
                <w:color w:val="0D1B2A"/>
                <w:sz w:val="20"/>
                <w:szCs w:val="20"/>
              </w:rPr>
              <w:t>82%</w:t>
            </w:r>
          </w:p>
        </w:tc>
        <w:tc>
          <w:tcPr>
            <w:tcW w:w="1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3D7629">
            <w:r>
              <w:rPr>
                <w:rFonts w:ascii="Arial" w:hAnsi="Arial" w:eastAsia="Arial" w:cs="Arial"/>
                <w:color w:val="0D1B2A"/>
                <w:sz w:val="20"/>
                <w:szCs w:val="20"/>
              </w:rPr>
              <w:t>$0</w:t>
            </w:r>
          </w:p>
        </w:tc>
      </w:tr>
      <w:tr w14:paraId="5229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AFD953">
            <w:r>
              <w:rPr>
                <w:rFonts w:ascii="Arial" w:hAnsi="Arial" w:eastAsia="Arial" w:cs="Arial"/>
                <w:color w:val="0D1B2A"/>
                <w:sz w:val="20"/>
                <w:szCs w:val="20"/>
              </w:rPr>
              <w:t>Custom JS challenges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6B110E">
            <w:r>
              <w:rPr>
                <w:rFonts w:ascii="Arial" w:hAnsi="Arial" w:eastAsia="Arial" w:cs="Arial"/>
                <w:color w:val="0D1B2A"/>
                <w:sz w:val="20"/>
                <w:szCs w:val="20"/>
              </w:rPr>
              <w:t>Indeed, LinkedIn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5ACD38">
            <w:r>
              <w:rPr>
                <w:rFonts w:ascii="Arial" w:hAnsi="Arial" w:eastAsia="Arial" w:cs="Arial"/>
                <w:color w:val="0D1B2A"/>
                <w:sz w:val="20"/>
                <w:szCs w:val="20"/>
              </w:rPr>
              <w:t>Full browser execution (Playwright)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5F51BE">
            <w:r>
              <w:rPr>
                <w:rFonts w:ascii="Arial" w:hAnsi="Arial" w:eastAsia="Arial" w:cs="Arial"/>
                <w:color w:val="0D1B2A"/>
                <w:sz w:val="20"/>
                <w:szCs w:val="20"/>
              </w:rPr>
              <w:t>65%</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072669">
            <w:r>
              <w:rPr>
                <w:rFonts w:ascii="Arial" w:hAnsi="Arial" w:eastAsia="Arial" w:cs="Arial"/>
                <w:color w:val="0D1B2A"/>
                <w:sz w:val="20"/>
                <w:szCs w:val="20"/>
              </w:rPr>
              <w:t>$0</w:t>
            </w:r>
          </w:p>
        </w:tc>
      </w:tr>
    </w:tbl>
    <w:p w14:paraId="1998EB33">
      <w:pPr>
        <w:spacing w:before="0" w:after="160"/>
      </w:pPr>
    </w:p>
    <w:p w14:paraId="6328516A">
      <w:pPr>
        <w:pStyle w:val="4"/>
        <w:spacing w:before="200" w:after="100"/>
      </w:pPr>
      <w:r>
        <w:rPr>
          <w:rFonts w:ascii="Arial" w:hAnsi="Arial" w:eastAsia="Arial" w:cs="Arial"/>
          <w:b/>
          <w:bCs/>
          <w:color w:val="2E75B6"/>
          <w:sz w:val="22"/>
          <w:szCs w:val="22"/>
        </w:rPr>
        <w:t>Mitigation Strategy — TR-02</w:t>
      </w:r>
    </w:p>
    <w:p w14:paraId="66AD8F08">
      <w:pPr>
        <w:pStyle w:val="16"/>
        <w:numPr>
          <w:ilvl w:val="0"/>
          <w:numId w:val="1"/>
        </w:numPr>
        <w:spacing w:before="40" w:after="40"/>
      </w:pPr>
      <w:r>
        <w:rPr>
          <w:rFonts w:ascii="Arial" w:hAnsi="Arial" w:eastAsia="Arial" w:cs="Arial"/>
          <w:sz w:val="22"/>
          <w:szCs w:val="22"/>
        </w:rPr>
        <w:t>CAPTCHA solver integration: 2Captcha for image CAPTCHAs. CapSolver for hCaptcha. Both integrated in Playwright executor (DOC-04, WF-004).</w:t>
      </w:r>
    </w:p>
    <w:p w14:paraId="551DCF8C">
      <w:pPr>
        <w:pStyle w:val="16"/>
        <w:numPr>
          <w:ilvl w:val="0"/>
          <w:numId w:val="1"/>
        </w:numPr>
        <w:spacing w:before="40" w:after="40"/>
      </w:pPr>
      <w:r>
        <w:rPr>
          <w:rFonts w:ascii="Arial" w:hAnsi="Arial" w:eastAsia="Arial" w:cs="Arial"/>
          <w:sz w:val="22"/>
          <w:szCs w:val="22"/>
        </w:rPr>
        <w:t>Score-based CAPTCHA: Improve reCAPTCHA v3 score through: minimum 30-second session warmup, natural scroll behaviour, cookie history, and avoiding headless browser signals.</w:t>
      </w:r>
    </w:p>
    <w:p w14:paraId="5E7A4773">
      <w:pPr>
        <w:pStyle w:val="16"/>
        <w:numPr>
          <w:ilvl w:val="0"/>
          <w:numId w:val="1"/>
        </w:numPr>
        <w:spacing w:before="40" w:after="40"/>
      </w:pPr>
      <w:r>
        <w:rPr>
          <w:rFonts w:ascii="Arial" w:hAnsi="Arial" w:eastAsia="Arial" w:cs="Arial"/>
          <w:sz w:val="22"/>
          <w:szCs w:val="22"/>
        </w:rPr>
        <w:t>Shadow-ban detection: After submission, verify application appears in "Applied Jobs" or confirmation email within 5 minutes. If not confirmed, flag as shadow-banned and retry via different IP.</w:t>
      </w:r>
    </w:p>
    <w:p w14:paraId="7F843485">
      <w:pPr>
        <w:pStyle w:val="16"/>
        <w:numPr>
          <w:ilvl w:val="0"/>
          <w:numId w:val="1"/>
        </w:numPr>
        <w:spacing w:before="40" w:after="40"/>
      </w:pPr>
      <w:r>
        <w:rPr>
          <w:rFonts w:ascii="Arial" w:hAnsi="Arial" w:eastAsia="Arial" w:cs="Arial"/>
          <w:sz w:val="22"/>
          <w:szCs w:val="22"/>
        </w:rPr>
        <w:t>Fallback to manual: If CAPTCHA failure rate exceeds 20% for a given user on a given platform, queue for Agent manual review rather than continue burning credits.</w:t>
      </w:r>
    </w:p>
    <w:p w14:paraId="3DBA5FB8">
      <w:pPr>
        <w:spacing w:before="0" w:after="240"/>
      </w:pPr>
    </w:p>
    <w:p w14:paraId="0C709588">
      <w:pPr>
        <w:pStyle w:val="3"/>
        <w:spacing w:before="300" w:after="120"/>
      </w:pPr>
      <w:r>
        <w:rPr>
          <w:rFonts w:ascii="Arial" w:hAnsi="Arial" w:eastAsia="Arial" w:cs="Arial"/>
          <w:b/>
          <w:bCs/>
          <w:color w:val="1B3A5C"/>
          <w:sz w:val="26"/>
          <w:szCs w:val="26"/>
        </w:rPr>
        <w:t>3.3 TR-03 — AI Hallucination in Form Fields (High)</w:t>
      </w:r>
    </w:p>
    <w:p w14:paraId="42BA65C6">
      <w:pPr>
        <w:spacing w:before="60" w:after="80"/>
      </w:pPr>
      <w:r>
        <w:rPr>
          <w:rFonts w:ascii="Arial" w:hAnsi="Arial" w:eastAsia="Arial" w:cs="Arial"/>
          <w:sz w:val="22"/>
          <w:szCs w:val="22"/>
        </w:rPr>
        <w:t>GPT-4o and GPT-4o-mini may generate plausible-sounding but factually incorrect content for form fields — particularly for structured fields like expected salary, notice period, work authorisation status, or references. Incorrect submissions can damage user credibility with employers.</w:t>
      </w:r>
    </w:p>
    <w:p w14:paraId="194FB80F">
      <w:pPr>
        <w:spacing w:before="0" w:after="120"/>
      </w:pPr>
    </w:p>
    <w:p w14:paraId="4145E2D7">
      <w:pPr>
        <w:pStyle w:val="4"/>
        <w:spacing w:before="200" w:after="100"/>
      </w:pPr>
      <w:r>
        <w:rPr>
          <w:rFonts w:ascii="Arial" w:hAnsi="Arial" w:eastAsia="Arial" w:cs="Arial"/>
          <w:b/>
          <w:bCs/>
          <w:color w:val="2E75B6"/>
          <w:sz w:val="22"/>
          <w:szCs w:val="22"/>
        </w:rPr>
        <w:t>Mitigation Strategy — TR-03</w:t>
      </w:r>
    </w:p>
    <w:p w14:paraId="1E1ACED6">
      <w:pPr>
        <w:pStyle w:val="16"/>
        <w:numPr>
          <w:ilvl w:val="0"/>
          <w:numId w:val="1"/>
        </w:numPr>
        <w:spacing w:before="40" w:after="40"/>
      </w:pPr>
      <w:r>
        <w:rPr>
          <w:rFonts w:ascii="Arial" w:hAnsi="Arial" w:eastAsia="Arial" w:cs="Arial"/>
          <w:sz w:val="22"/>
          <w:szCs w:val="22"/>
        </w:rPr>
        <w:t>Structured field validation: All salary, notice period, and boolean fields (e.g., authorised to work) are sourced directly from the user profile — never AI-generated. AI is used only for free-text fields (cover letter, "describe yourself").</w:t>
      </w:r>
    </w:p>
    <w:p w14:paraId="73F50541">
      <w:pPr>
        <w:pStyle w:val="16"/>
        <w:numPr>
          <w:ilvl w:val="0"/>
          <w:numId w:val="1"/>
        </w:numPr>
        <w:spacing w:before="40" w:after="40"/>
      </w:pPr>
      <w:r>
        <w:rPr>
          <w:rFonts w:ascii="Arial" w:hAnsi="Arial" w:eastAsia="Arial" w:cs="Arial"/>
          <w:sz w:val="22"/>
          <w:szCs w:val="22"/>
        </w:rPr>
        <w:t>Schema-constrained output: All AI responses for form fields use JSON mode with a strict schema. Any response failing schema validation triggers a retry with a more constrained prompt.</w:t>
      </w:r>
    </w:p>
    <w:p w14:paraId="0EBFC599">
      <w:pPr>
        <w:pStyle w:val="16"/>
        <w:numPr>
          <w:ilvl w:val="0"/>
          <w:numId w:val="1"/>
        </w:numPr>
        <w:spacing w:before="40" w:after="40"/>
      </w:pPr>
      <w:r>
        <w:rPr>
          <w:rFonts w:ascii="Arial" w:hAnsi="Arial" w:eastAsia="Arial" w:cs="Arial"/>
          <w:sz w:val="22"/>
          <w:szCs w:val="22"/>
        </w:rPr>
        <w:t>Confidence thresholding: If the AI response for a critical field contains hedging language ("approximately", "around", "I think"), the field is cleared and the application pauses for Agent review.</w:t>
      </w:r>
    </w:p>
    <w:p w14:paraId="01330BC0">
      <w:pPr>
        <w:pStyle w:val="16"/>
        <w:numPr>
          <w:ilvl w:val="0"/>
          <w:numId w:val="1"/>
        </w:numPr>
        <w:spacing w:before="40" w:after="40"/>
      </w:pPr>
      <w:r>
        <w:rPr>
          <w:rFonts w:ascii="Arial" w:hAnsi="Arial" w:eastAsia="Arial" w:cs="Arial"/>
          <w:sz w:val="22"/>
          <w:szCs w:val="22"/>
        </w:rPr>
        <w:t>User review window: For Tier-1+ users, a 30-minute pre-submission preview is available. Users can reject any queued application before it fires.</w:t>
      </w:r>
    </w:p>
    <w:p w14:paraId="33E39C77">
      <w:pPr>
        <w:pStyle w:val="16"/>
        <w:numPr>
          <w:ilvl w:val="0"/>
          <w:numId w:val="1"/>
        </w:numPr>
        <w:spacing w:before="40" w:after="40"/>
      </w:pPr>
      <w:r>
        <w:rPr>
          <w:rFonts w:ascii="Arial" w:hAnsi="Arial" w:eastAsia="Arial" w:cs="Arial"/>
          <w:sz w:val="22"/>
          <w:szCs w:val="22"/>
        </w:rPr>
        <w:t>Hallucination audit log: All AI-generated field content is logged to Firestore (aiGeneratedFields sub-collection) for post-hoc review by agents.</w:t>
      </w:r>
    </w:p>
    <w:p w14:paraId="32A08D91">
      <w:pPr>
        <w:spacing w:before="0" w:after="200"/>
      </w:pPr>
    </w:p>
    <w:p w14:paraId="7B59C9A8">
      <w:pPr>
        <w:pStyle w:val="3"/>
        <w:spacing w:before="300" w:after="120"/>
      </w:pPr>
      <w:r>
        <w:rPr>
          <w:rFonts w:ascii="Arial" w:hAnsi="Arial" w:eastAsia="Arial" w:cs="Arial"/>
          <w:b/>
          <w:bCs/>
          <w:color w:val="1B3A5C"/>
          <w:sz w:val="26"/>
          <w:szCs w:val="26"/>
        </w:rPr>
        <w:t>3.4 TR-04 — ATS Selector Map Staleness (High)</w:t>
      </w:r>
    </w:p>
    <w:p w14:paraId="6337F50E">
      <w:pPr>
        <w:spacing w:before="60" w:after="80"/>
      </w:pPr>
      <w:r>
        <w:rPr>
          <w:rFonts w:ascii="Arial" w:hAnsi="Arial" w:eastAsia="Arial" w:cs="Arial"/>
          <w:sz w:val="22"/>
          <w:szCs w:val="22"/>
        </w:rPr>
        <w:t>Greenhouse, Workday, Lever, iCIMS, and Taleo regularly update their frontend without versioned APIs. A CSS selector change can silently break the apply executor — submissions appear to complete but the wrong fields are filled.</w:t>
      </w:r>
    </w:p>
    <w:p w14:paraId="76F712C9">
      <w:pPr>
        <w:spacing w:before="0" w:after="120"/>
      </w:pPr>
    </w:p>
    <w:p w14:paraId="32E69B42">
      <w:pPr>
        <w:pStyle w:val="4"/>
        <w:spacing w:before="200" w:after="100"/>
      </w:pPr>
      <w:r>
        <w:rPr>
          <w:rFonts w:ascii="Arial" w:hAnsi="Arial" w:eastAsia="Arial" w:cs="Arial"/>
          <w:b/>
          <w:bCs/>
          <w:color w:val="2E75B6"/>
          <w:sz w:val="22"/>
          <w:szCs w:val="22"/>
        </w:rPr>
        <w:t>Mitigation Strategy — TR-04</w:t>
      </w:r>
    </w:p>
    <w:p w14:paraId="451E245C">
      <w:pPr>
        <w:pStyle w:val="16"/>
        <w:numPr>
          <w:ilvl w:val="0"/>
          <w:numId w:val="1"/>
        </w:numPr>
        <w:spacing w:before="40" w:after="40"/>
      </w:pPr>
      <w:r>
        <w:rPr>
          <w:rFonts w:ascii="Arial" w:hAnsi="Arial" w:eastAsia="Arial" w:cs="Arial"/>
          <w:sz w:val="22"/>
          <w:szCs w:val="22"/>
        </w:rPr>
        <w:t>Selector health checks: Dedicated n8n workflow (WF-008) runs a synthetic apply against a sandbox job on each ATS every 24 hours. If selector hit rate drops below 95%, PagerDuty alert fires.</w:t>
      </w:r>
    </w:p>
    <w:p w14:paraId="5FAF0A20">
      <w:pPr>
        <w:pStyle w:val="16"/>
        <w:numPr>
          <w:ilvl w:val="0"/>
          <w:numId w:val="1"/>
        </w:numPr>
        <w:spacing w:before="40" w:after="40"/>
      </w:pPr>
      <w:r>
        <w:rPr>
          <w:rFonts w:ascii="Arial" w:hAnsi="Arial" w:eastAsia="Arial" w:cs="Arial"/>
          <w:sz w:val="22"/>
          <w:szCs w:val="22"/>
        </w:rPr>
        <w:t>Selector versioning: Selector maps are stored as versioned JSON configs in GCS (ats-selectors/greenhouse/v14.json). Rollback to previous version is a 1-command operation.</w:t>
      </w:r>
    </w:p>
    <w:p w14:paraId="654E7162">
      <w:pPr>
        <w:pStyle w:val="16"/>
        <w:numPr>
          <w:ilvl w:val="0"/>
          <w:numId w:val="1"/>
        </w:numPr>
        <w:spacing w:before="40" w:after="40"/>
      </w:pPr>
      <w:r>
        <w:rPr>
          <w:rFonts w:ascii="Arial" w:hAnsi="Arial" w:eastAsia="Arial" w:cs="Arial"/>
          <w:sz w:val="22"/>
          <w:szCs w:val="22"/>
        </w:rPr>
        <w:t>Visual regression: Playwright screenshots the form at each field interaction. Screenshot diffs &gt; 15% between runs trigger a manual review alert.</w:t>
      </w:r>
    </w:p>
    <w:p w14:paraId="113523B0">
      <w:pPr>
        <w:pStyle w:val="16"/>
        <w:numPr>
          <w:ilvl w:val="0"/>
          <w:numId w:val="1"/>
        </w:numPr>
        <w:spacing w:before="40" w:after="40"/>
      </w:pPr>
      <w:r>
        <w:rPr>
          <w:rFonts w:ascii="Arial" w:hAnsi="Arial" w:eastAsia="Arial" w:cs="Arial"/>
          <w:sz w:val="22"/>
          <w:szCs w:val="22"/>
        </w:rPr>
        <w:t>Community-sourced updates: Internal selector update tool allows agents to report broken forms and propose selector fixes via admin panel (DOC-06).</w:t>
      </w:r>
    </w:p>
    <w:p w14:paraId="5C94C8F7">
      <w:pPr>
        <w:spacing w:before="0" w:after="200"/>
      </w:pPr>
    </w:p>
    <w:p w14:paraId="287BA420">
      <w:pPr>
        <w:pStyle w:val="3"/>
        <w:spacing w:before="300" w:after="120"/>
      </w:pPr>
      <w:r>
        <w:rPr>
          <w:rFonts w:ascii="Arial" w:hAnsi="Arial" w:eastAsia="Arial" w:cs="Arial"/>
          <w:b/>
          <w:bCs/>
          <w:color w:val="1B3A5C"/>
          <w:sz w:val="26"/>
          <w:szCs w:val="26"/>
        </w:rPr>
        <w:t>3.5 TR-05 through TR-08 — Supporting Technical Risks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
        <w:gridCol w:w="2199"/>
        <w:gridCol w:w="3898"/>
        <w:gridCol w:w="2560"/>
      </w:tblGrid>
      <w:tr w14:paraId="6717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C24EFB3">
            <w:r>
              <w:rPr>
                <w:rFonts w:ascii="Arial" w:hAnsi="Arial" w:eastAsia="Arial" w:cs="Arial"/>
                <w:b/>
                <w:bCs/>
                <w:color w:val="FFFFFF"/>
                <w:sz w:val="20"/>
                <w:szCs w:val="20"/>
              </w:rPr>
              <w:t>Risk ID</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9B67EF3">
            <w:r>
              <w:rPr>
                <w:rFonts w:ascii="Arial" w:hAnsi="Arial" w:eastAsia="Arial" w:cs="Arial"/>
                <w:b/>
                <w:bCs/>
                <w:color w:val="FFFFFF"/>
                <w:sz w:val="20"/>
                <w:szCs w:val="20"/>
              </w:rPr>
              <w:t>Risk</w:t>
            </w:r>
          </w:p>
        </w:tc>
        <w:tc>
          <w:tcPr>
            <w:tcW w:w="3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2BC967F">
            <w:r>
              <w:rPr>
                <w:rFonts w:ascii="Arial" w:hAnsi="Arial" w:eastAsia="Arial" w:cs="Arial"/>
                <w:b/>
                <w:bCs/>
                <w:color w:val="FFFFFF"/>
                <w:sz w:val="20"/>
                <w:szCs w:val="20"/>
              </w:rPr>
              <w:t>Key Mitigation</w:t>
            </w:r>
          </w:p>
        </w:tc>
        <w:tc>
          <w:tcPr>
            <w:tcW w:w="2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382AD5A">
            <w:r>
              <w:rPr>
                <w:rFonts w:ascii="Arial" w:hAnsi="Arial" w:eastAsia="Arial" w:cs="Arial"/>
                <w:b/>
                <w:bCs/>
                <w:color w:val="FFFFFF"/>
                <w:sz w:val="20"/>
                <w:szCs w:val="20"/>
              </w:rPr>
              <w:t>Monitoring</w:t>
            </w:r>
          </w:p>
        </w:tc>
      </w:tr>
      <w:tr w14:paraId="2362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1077EC">
            <w:r>
              <w:rPr>
                <w:rFonts w:ascii="Arial" w:hAnsi="Arial" w:eastAsia="Arial" w:cs="Arial"/>
                <w:color w:val="0D1B2A"/>
                <w:sz w:val="20"/>
                <w:szCs w:val="20"/>
              </w:rPr>
              <w:t>TR-05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CFD6366">
            <w:r>
              <w:rPr>
                <w:rFonts w:ascii="Arial" w:hAnsi="Arial" w:eastAsia="Arial" w:cs="Arial"/>
                <w:color w:val="0D1B2A"/>
                <w:sz w:val="20"/>
                <w:szCs w:val="20"/>
              </w:rPr>
              <w:t>n8n worker crash mid-apply</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A56A8F">
            <w:r>
              <w:rPr>
                <w:rFonts w:ascii="Arial" w:hAnsi="Arial" w:eastAsia="Arial" w:cs="Arial"/>
                <w:color w:val="0D1B2A"/>
                <w:sz w:val="20"/>
                <w:szCs w:val="20"/>
              </w:rPr>
              <w:t>Idempotency keys on all apply jobs; crashed jobs re-queued from last checkpoint via Redis job state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C74516">
            <w:r>
              <w:rPr>
                <w:rFonts w:ascii="Arial" w:hAnsi="Arial" w:eastAsia="Arial" w:cs="Arial"/>
                <w:color w:val="0D1B2A"/>
                <w:sz w:val="20"/>
                <w:szCs w:val="20"/>
              </w:rPr>
              <w:t>Cloud Monitoring: worker restart rate alert</w:t>
            </w:r>
          </w:p>
        </w:tc>
      </w:tr>
      <w:tr w14:paraId="77D7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2CB2B0">
            <w:r>
              <w:rPr>
                <w:rFonts w:ascii="Arial" w:hAnsi="Arial" w:eastAsia="Arial" w:cs="Arial"/>
                <w:color w:val="0D1B2A"/>
                <w:sz w:val="20"/>
                <w:szCs w:val="20"/>
              </w:rPr>
              <w:t>TR-06</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BCBADFE">
            <w:r>
              <w:rPr>
                <w:rFonts w:ascii="Arial" w:hAnsi="Arial" w:eastAsia="Arial" w:cs="Arial"/>
                <w:color w:val="0D1B2A"/>
                <w:sz w:val="20"/>
                <w:szCs w:val="20"/>
              </w:rPr>
              <w:t>Firestore quota exhaustion</w:t>
            </w:r>
          </w:p>
        </w:tc>
        <w:tc>
          <w:tcPr>
            <w:tcW w:w="3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E0B5720">
            <w:r>
              <w:rPr>
                <w:rFonts w:ascii="Arial" w:hAnsi="Arial" w:eastAsia="Arial" w:cs="Arial"/>
                <w:color w:val="0D1B2A"/>
                <w:sz w:val="20"/>
                <w:szCs w:val="20"/>
              </w:rPr>
              <w:t>Shard counters (DOC-09); BigQuery for analytics; read caching via Zustand; alert at 80% quota</w:t>
            </w:r>
          </w:p>
        </w:tc>
        <w:tc>
          <w:tcPr>
            <w:tcW w:w="2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662D81">
            <w:r>
              <w:rPr>
                <w:rFonts w:ascii="Arial" w:hAnsi="Arial" w:eastAsia="Arial" w:cs="Arial"/>
                <w:color w:val="0D1B2A"/>
                <w:sz w:val="20"/>
                <w:szCs w:val="20"/>
              </w:rPr>
              <w:t>Firebase console quota alerts</w:t>
            </w:r>
          </w:p>
        </w:tc>
      </w:tr>
      <w:tr w14:paraId="294C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1F330C">
            <w:r>
              <w:rPr>
                <w:rFonts w:ascii="Arial" w:hAnsi="Arial" w:eastAsia="Arial" w:cs="Arial"/>
                <w:color w:val="0D1B2A"/>
                <w:sz w:val="20"/>
                <w:szCs w:val="20"/>
              </w:rPr>
              <w:t>TR-07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8F94B5">
            <w:r>
              <w:rPr>
                <w:rFonts w:ascii="Arial" w:hAnsi="Arial" w:eastAsia="Arial" w:cs="Arial"/>
                <w:color w:val="0D1B2A"/>
                <w:sz w:val="20"/>
                <w:szCs w:val="20"/>
              </w:rPr>
              <w:t>OpenAI API outage</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0E2FAA">
            <w:r>
              <w:rPr>
                <w:rFonts w:ascii="Arial" w:hAnsi="Arial" w:eastAsia="Arial" w:cs="Arial"/>
                <w:color w:val="0D1B2A"/>
                <w:sz w:val="20"/>
                <w:szCs w:val="20"/>
              </w:rPr>
              <w:t>Anthropic Claude as fallback (DOC-04); cached cover letter templates for 48h outage survival</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D2841C">
            <w:r>
              <w:rPr>
                <w:rFonts w:ascii="Arial" w:hAnsi="Arial" w:eastAsia="Arial" w:cs="Arial"/>
                <w:color w:val="0D1B2A"/>
                <w:sz w:val="20"/>
                <w:szCs w:val="20"/>
              </w:rPr>
              <w:t>OpenAI status webhook → Slack alert</w:t>
            </w:r>
          </w:p>
        </w:tc>
      </w:tr>
      <w:tr w14:paraId="3339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81B2D02">
            <w:r>
              <w:rPr>
                <w:rFonts w:ascii="Arial" w:hAnsi="Arial" w:eastAsia="Arial" w:cs="Arial"/>
                <w:color w:val="0D1B2A"/>
                <w:sz w:val="20"/>
                <w:szCs w:val="20"/>
              </w:rPr>
              <w:t>TR-08</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84A236">
            <w:r>
              <w:rPr>
                <w:rFonts w:ascii="Arial" w:hAnsi="Arial" w:eastAsia="Arial" w:cs="Arial"/>
                <w:color w:val="0D1B2A"/>
                <w:sz w:val="20"/>
                <w:szCs w:val="20"/>
              </w:rPr>
              <w:t>Cloud Run cold start timeout</w:t>
            </w:r>
          </w:p>
        </w:tc>
        <w:tc>
          <w:tcPr>
            <w:tcW w:w="3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1033141">
            <w:r>
              <w:rPr>
                <w:rFonts w:ascii="Arial" w:hAnsi="Arial" w:eastAsia="Arial" w:cs="Arial"/>
                <w:color w:val="0D1B2A"/>
                <w:sz w:val="20"/>
                <w:szCs w:val="20"/>
              </w:rPr>
              <w:t>min-instances=2 at all tiers; startup-cpu-boost enabled; 300s timeout on apply executor</w:t>
            </w:r>
          </w:p>
        </w:tc>
        <w:tc>
          <w:tcPr>
            <w:tcW w:w="2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E098587">
            <w:r>
              <w:rPr>
                <w:rFonts w:ascii="Arial" w:hAnsi="Arial" w:eastAsia="Arial" w:cs="Arial"/>
                <w:color w:val="0D1B2A"/>
                <w:sz w:val="20"/>
                <w:szCs w:val="20"/>
              </w:rPr>
              <w:t>Cloud Run P95 latency dashboard</w:t>
            </w:r>
          </w:p>
        </w:tc>
      </w:tr>
    </w:tbl>
    <w:p w14:paraId="76252C22">
      <w:pPr>
        <w:spacing w:before="0" w:after="240"/>
      </w:pPr>
    </w:p>
    <w:p w14:paraId="5983C42F">
      <w:pPr>
        <w:pStyle w:val="2"/>
        <w:spacing w:before="400" w:after="160"/>
      </w:pPr>
      <w:r>
        <w:rPr>
          <w:rFonts w:ascii="Arial" w:hAnsi="Arial" w:eastAsia="Arial" w:cs="Arial"/>
          <w:b/>
          <w:bCs/>
          <w:color w:val="0D1B2A"/>
          <w:sz w:val="32"/>
          <w:szCs w:val="32"/>
        </w:rPr>
        <w:t>4. Product Risks</w:t>
      </w:r>
    </w:p>
    <w:p w14:paraId="1C3006A0">
      <w:pPr>
        <w:spacing w:before="0" w:after="120"/>
      </w:pPr>
    </w:p>
    <w:p w14:paraId="4CC66CD1">
      <w:pPr>
        <w:pStyle w:val="3"/>
        <w:spacing w:before="300" w:after="120"/>
      </w:pPr>
      <w:r>
        <w:rPr>
          <w:rFonts w:ascii="Arial" w:hAnsi="Arial" w:eastAsia="Arial" w:cs="Arial"/>
          <w:b/>
          <w:bCs/>
          <w:color w:val="1B3A5C"/>
          <w:sz w:val="26"/>
          <w:szCs w:val="26"/>
        </w:rPr>
        <w:t>4.1 PR-01 — User Trust Erosion from Rejected Applications (Critical)</w:t>
      </w:r>
    </w:p>
    <w:p w14:paraId="3ED66CC0">
      <w:pPr>
        <w:spacing w:before="60" w:after="80"/>
      </w:pPr>
      <w:r>
        <w:rPr>
          <w:rFonts w:ascii="Arial" w:hAnsi="Arial" w:eastAsia="Arial" w:cs="Arial"/>
          <w:sz w:val="22"/>
          <w:szCs w:val="22"/>
        </w:rPr>
        <w:t>If Bench Sales consistently applies to jobs that are poor matches — resulting in no callbacks — users will churn and attribute the failure to the platform, even if the root cause is the job market. This is the single largest product survival risk.</w:t>
      </w:r>
    </w:p>
    <w:p w14:paraId="04E80EA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2AF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8B3816D">
            <w:r>
              <w:rPr>
                <w:rFonts w:ascii="Arial" w:hAnsi="Arial" w:eastAsia="Arial" w:cs="Arial"/>
                <w:b/>
                <w:bCs/>
                <w:color w:val="FFFFFF"/>
                <w:sz w:val="20"/>
                <w:szCs w:val="20"/>
              </w:rPr>
              <w:t>Attribute</w:t>
            </w:r>
          </w:p>
        </w:tc>
        <w:tc>
          <w:tcPr>
            <w:tcW w:w="73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D1A504C">
            <w:r>
              <w:rPr>
                <w:rFonts w:ascii="Arial" w:hAnsi="Arial" w:eastAsia="Arial" w:cs="Arial"/>
                <w:b/>
                <w:bCs/>
                <w:color w:val="FFFFFF"/>
                <w:sz w:val="20"/>
                <w:szCs w:val="20"/>
              </w:rPr>
              <w:t>Detail</w:t>
            </w:r>
          </w:p>
        </w:tc>
      </w:tr>
      <w:tr w14:paraId="40C4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CA453C">
            <w:r>
              <w:rPr>
                <w:rFonts w:ascii="Arial" w:hAnsi="Arial" w:eastAsia="Arial" w:cs="Arial"/>
                <w:color w:val="0D1B2A"/>
                <w:sz w:val="20"/>
                <w:szCs w:val="20"/>
              </w:rPr>
              <w:t>Root Cause</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96DF1E">
            <w:r>
              <w:rPr>
                <w:rFonts w:ascii="Arial" w:hAnsi="Arial" w:eastAsia="Arial" w:cs="Arial"/>
                <w:color w:val="0D1B2A"/>
                <w:sz w:val="20"/>
                <w:szCs w:val="20"/>
              </w:rPr>
              <w:t>Match scoring too permissive (low threshold), AI tailoring not sufficiently differentiating, or ATS keyword parsing failure.</w:t>
            </w:r>
          </w:p>
        </w:tc>
      </w:tr>
      <w:tr w14:paraId="223D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4459B7">
            <w:r>
              <w:rPr>
                <w:rFonts w:ascii="Arial" w:hAnsi="Arial" w:eastAsia="Arial" w:cs="Arial"/>
                <w:color w:val="0D1B2A"/>
                <w:sz w:val="20"/>
                <w:szCs w:val="20"/>
              </w:rPr>
              <w:t>User Perception</w:t>
            </w:r>
          </w:p>
        </w:tc>
        <w:tc>
          <w:tcPr>
            <w:tcW w:w="7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F16E83B">
            <w:r>
              <w:rPr>
                <w:rFonts w:ascii="Arial" w:hAnsi="Arial" w:eastAsia="Arial" w:cs="Arial"/>
                <w:color w:val="0D1B2A"/>
                <w:sz w:val="20"/>
                <w:szCs w:val="20"/>
              </w:rPr>
              <w:t>User cannot distinguish "right job, bad market" from "wrong job, bad platform". Both result in churn.</w:t>
            </w:r>
          </w:p>
        </w:tc>
      </w:tr>
      <w:tr w14:paraId="2A46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2432CE">
            <w:r>
              <w:rPr>
                <w:rFonts w:ascii="Arial" w:hAnsi="Arial" w:eastAsia="Arial" w:cs="Arial"/>
                <w:color w:val="0D1B2A"/>
                <w:sz w:val="20"/>
                <w:szCs w:val="20"/>
              </w:rPr>
              <w:t>Measurement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C640C9">
            <w:r>
              <w:rPr>
                <w:rFonts w:ascii="Arial" w:hAnsi="Arial" w:eastAsia="Arial" w:cs="Arial"/>
                <w:color w:val="0D1B2A"/>
                <w:sz w:val="20"/>
                <w:szCs w:val="20"/>
              </w:rPr>
              <w:t>Track callback rate (employer response within 14 days) per user. Target: &gt;8% callback rate. Alert if user falls below 4% for 2 consecutive weeks.</w:t>
            </w:r>
          </w:p>
        </w:tc>
      </w:tr>
      <w:tr w14:paraId="743C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D3079F0">
            <w:r>
              <w:rPr>
                <w:rFonts w:ascii="Arial" w:hAnsi="Arial" w:eastAsia="Arial" w:cs="Arial"/>
                <w:color w:val="0D1B2A"/>
                <w:sz w:val="20"/>
                <w:szCs w:val="20"/>
              </w:rPr>
              <w:t>Primary Mitigation</w:t>
            </w:r>
          </w:p>
        </w:tc>
        <w:tc>
          <w:tcPr>
            <w:tcW w:w="7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214086F">
            <w:r>
              <w:rPr>
                <w:rFonts w:ascii="Arial" w:hAnsi="Arial" w:eastAsia="Arial" w:cs="Arial"/>
                <w:color w:val="0D1B2A"/>
                <w:sz w:val="20"/>
                <w:szCs w:val="20"/>
              </w:rPr>
              <w:t>Enforce minimum match score of 65 before application (configurable per user). Show users their match score per application for transparency.</w:t>
            </w:r>
          </w:p>
        </w:tc>
      </w:tr>
      <w:tr w14:paraId="721B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39B62B">
            <w:r>
              <w:rPr>
                <w:rFonts w:ascii="Arial" w:hAnsi="Arial" w:eastAsia="Arial" w:cs="Arial"/>
                <w:color w:val="0D1B2A"/>
                <w:sz w:val="20"/>
                <w:szCs w:val="20"/>
              </w:rPr>
              <w:t>Secondary Mitigation</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5D938E">
            <w:r>
              <w:rPr>
                <w:rFonts w:ascii="Arial" w:hAnsi="Arial" w:eastAsia="Arial" w:cs="Arial"/>
                <w:color w:val="0D1B2A"/>
                <w:sz w:val="20"/>
                <w:szCs w:val="20"/>
              </w:rPr>
              <w:t>Weekly agent check-in: if callback rate &lt; 5%, agent triggers profile review session with user. Resume rewrite suggested.</w:t>
            </w:r>
          </w:p>
        </w:tc>
      </w:tr>
    </w:tbl>
    <w:p w14:paraId="33159053">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45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1A5C2A" w:sz="18" w:space="0"/>
              <w:bottom w:val="single" w:color="CCCCCC" w:sz="0" w:space="0"/>
              <w:right w:val="single" w:color="CCCCCC" w:sz="0" w:space="0"/>
            </w:tcBorders>
            <w:shd w:val="clear" w:color="auto" w:fill="EAFAF1"/>
            <w:tcMar>
              <w:top w:w="120" w:type="dxa"/>
              <w:left w:w="200" w:type="dxa"/>
              <w:bottom w:w="120" w:type="dxa"/>
              <w:right w:w="120" w:type="dxa"/>
            </w:tcMar>
          </w:tcPr>
          <w:p w14:paraId="28D16A88">
            <w:pPr>
              <w:spacing w:before="40" w:after="40"/>
            </w:pPr>
            <w:r>
              <w:rPr>
                <w:rFonts w:ascii="Arial" w:hAnsi="Arial" w:eastAsia="Arial" w:cs="Arial"/>
                <w:color w:val="1B3A5C"/>
                <w:sz w:val="20"/>
                <w:szCs w:val="20"/>
              </w:rPr>
              <w:t>Transparency Feature: Display callback rate and application quality metrics on user dashboard.</w:t>
            </w:r>
          </w:p>
          <w:p w14:paraId="71207D2F">
            <w:pPr>
              <w:spacing w:before="40" w:after="40"/>
            </w:pPr>
            <w:r>
              <w:rPr>
                <w:rFonts w:ascii="Arial" w:hAnsi="Arial" w:eastAsia="Arial" w:cs="Arial"/>
                <w:color w:val="1B3A5C"/>
                <w:sz w:val="20"/>
                <w:szCs w:val="20"/>
              </w:rPr>
              <w:t>Users who understand why applications succeed or fail are 3x less likely to attribute failure to the platform.</w:t>
            </w:r>
          </w:p>
          <w:p w14:paraId="5033EC85">
            <w:pPr>
              <w:spacing w:before="40" w:after="40"/>
            </w:pPr>
            <w:r>
              <w:rPr>
                <w:rFonts w:ascii="Arial" w:hAnsi="Arial" w:eastAsia="Arial" w:cs="Arial"/>
                <w:color w:val="1B3A5C"/>
                <w:sz w:val="20"/>
                <w:szCs w:val="20"/>
              </w:rPr>
              <w:t>Planned: A/B test showing vs. hiding match scores to quantify effect on perceived platform quality.</w:t>
            </w:r>
          </w:p>
        </w:tc>
      </w:tr>
    </w:tbl>
    <w:p w14:paraId="60C3E71D">
      <w:pPr>
        <w:spacing w:before="0" w:after="200"/>
      </w:pPr>
    </w:p>
    <w:p w14:paraId="632C0D63">
      <w:pPr>
        <w:pStyle w:val="3"/>
        <w:spacing w:before="300" w:after="120"/>
      </w:pPr>
      <w:r>
        <w:rPr>
          <w:rFonts w:ascii="Arial" w:hAnsi="Arial" w:eastAsia="Arial" w:cs="Arial"/>
          <w:b/>
          <w:bCs/>
          <w:color w:val="1B3A5C"/>
          <w:sz w:val="26"/>
          <w:szCs w:val="26"/>
        </w:rPr>
        <w:t>4.2 PR-02 — Agent Gaming / Neglect (High)</w:t>
      </w:r>
    </w:p>
    <w:p w14:paraId="0F7A3A30">
      <w:pPr>
        <w:spacing w:before="60" w:after="80"/>
      </w:pPr>
      <w:r>
        <w:rPr>
          <w:rFonts w:ascii="Arial" w:hAnsi="Arial" w:eastAsia="Arial" w:cs="Arial"/>
          <w:sz w:val="22"/>
          <w:szCs w:val="22"/>
        </w:rPr>
        <w:t>Agents are compensated based on student outcomes. Without enforcement, agents may: accept students they know are easy to place, ignore struggling students close to churn, or falsify manual review actions to appear active.</w:t>
      </w:r>
    </w:p>
    <w:p w14:paraId="553F6056">
      <w:pPr>
        <w:spacing w:before="0" w:after="120"/>
      </w:pPr>
    </w:p>
    <w:p w14:paraId="11673AA2">
      <w:pPr>
        <w:pStyle w:val="4"/>
        <w:spacing w:before="200" w:after="100"/>
      </w:pPr>
      <w:r>
        <w:rPr>
          <w:rFonts w:ascii="Arial" w:hAnsi="Arial" w:eastAsia="Arial" w:cs="Arial"/>
          <w:b/>
          <w:bCs/>
          <w:color w:val="2E75B6"/>
          <w:sz w:val="22"/>
          <w:szCs w:val="22"/>
        </w:rPr>
        <w:t>Mitigation Strategy — PR-02</w:t>
      </w:r>
    </w:p>
    <w:p w14:paraId="3CBD9961">
      <w:pPr>
        <w:pStyle w:val="16"/>
        <w:numPr>
          <w:ilvl w:val="0"/>
          <w:numId w:val="1"/>
        </w:numPr>
        <w:spacing w:before="40" w:after="40"/>
      </w:pPr>
      <w:r>
        <w:rPr>
          <w:rFonts w:ascii="Arial" w:hAnsi="Arial" w:eastAsia="Arial" w:cs="Arial"/>
          <w:sz w:val="22"/>
          <w:szCs w:val="22"/>
        </w:rPr>
        <w:t>Activity audit log: Every agent action (profile edit, warning sent, application override) is logged with timestamp to Firestore. Admin can view full audit trail.</w:t>
      </w:r>
    </w:p>
    <w:p w14:paraId="1D49D2C5">
      <w:pPr>
        <w:pStyle w:val="16"/>
        <w:numPr>
          <w:ilvl w:val="0"/>
          <w:numId w:val="1"/>
        </w:numPr>
        <w:spacing w:before="40" w:after="40"/>
      </w:pPr>
      <w:r>
        <w:rPr>
          <w:rFonts w:ascii="Arial" w:hAnsi="Arial" w:eastAsia="Arial" w:cs="Arial"/>
          <w:sz w:val="22"/>
          <w:szCs w:val="22"/>
        </w:rPr>
        <w:t>Forced engagement: Agents must acknowledge students with &lt;4% callback rate within 48h. Failure to acknowledge blocks new student assignments.</w:t>
      </w:r>
    </w:p>
    <w:p w14:paraId="1B2F9899">
      <w:pPr>
        <w:pStyle w:val="16"/>
        <w:numPr>
          <w:ilvl w:val="0"/>
          <w:numId w:val="1"/>
        </w:numPr>
        <w:spacing w:before="40" w:after="40"/>
      </w:pPr>
      <w:r>
        <w:rPr>
          <w:rFonts w:ascii="Arial" w:hAnsi="Arial" w:eastAsia="Arial" w:cs="Arial"/>
          <w:sz w:val="22"/>
          <w:szCs w:val="22"/>
        </w:rPr>
        <w:t>Random spot checks: Admin dashboard surfaces 3 random student+agent pairs per week for spot review. No advance notice to agent.</w:t>
      </w:r>
    </w:p>
    <w:p w14:paraId="56D94852">
      <w:pPr>
        <w:pStyle w:val="16"/>
        <w:numPr>
          <w:ilvl w:val="0"/>
          <w:numId w:val="1"/>
        </w:numPr>
        <w:spacing w:before="40" w:after="40"/>
      </w:pPr>
      <w:r>
        <w:rPr>
          <w:rFonts w:ascii="Arial" w:hAnsi="Arial" w:eastAsia="Arial" w:cs="Arial"/>
          <w:sz w:val="22"/>
          <w:szCs w:val="22"/>
        </w:rPr>
        <w:t>Student feedback loop: Students can rate agent responsiveness monthly (1–5 stars). Low-rated agents flagged for admin review.</w:t>
      </w:r>
    </w:p>
    <w:p w14:paraId="5A0680A2">
      <w:pPr>
        <w:pStyle w:val="16"/>
        <w:numPr>
          <w:ilvl w:val="0"/>
          <w:numId w:val="1"/>
        </w:numPr>
        <w:spacing w:before="40" w:after="40"/>
      </w:pPr>
      <w:r>
        <w:rPr>
          <w:rFonts w:ascii="Arial" w:hAnsi="Arial" w:eastAsia="Arial" w:cs="Arial"/>
          <w:sz w:val="22"/>
          <w:szCs w:val="22"/>
        </w:rPr>
        <w:t>Assignment cap enforcement: Max 50 students per agent is hard-enforced in Firestore security rules — cannot be bypassed by agent or admin.</w:t>
      </w:r>
    </w:p>
    <w:p w14:paraId="78FF6E5A">
      <w:pPr>
        <w:spacing w:before="0" w:after="200"/>
      </w:pPr>
    </w:p>
    <w:p w14:paraId="75C1DFB0">
      <w:pPr>
        <w:pStyle w:val="3"/>
        <w:spacing w:before="300" w:after="120"/>
      </w:pPr>
      <w:r>
        <w:rPr>
          <w:rFonts w:ascii="Arial" w:hAnsi="Arial" w:eastAsia="Arial" w:cs="Arial"/>
          <w:b/>
          <w:bCs/>
          <w:color w:val="1B3A5C"/>
          <w:sz w:val="26"/>
          <w:szCs w:val="26"/>
        </w:rPr>
        <w:t>4.3 PR-03 — Resume / PII Data Breach (High)</w:t>
      </w:r>
    </w:p>
    <w:p w14:paraId="633E7C37">
      <w:pPr>
        <w:spacing w:before="60" w:after="80"/>
      </w:pPr>
      <w:r>
        <w:rPr>
          <w:rFonts w:ascii="Arial" w:hAnsi="Arial" w:eastAsia="Arial" w:cs="Arial"/>
          <w:sz w:val="22"/>
          <w:szCs w:val="22"/>
        </w:rPr>
        <w:t>Bench Sales stores highly sensitive PII: full resumes, phone numbers, home addresses, work history, and education history. A breach would cause severe reputational and regulatory damage.</w:t>
      </w:r>
    </w:p>
    <w:p w14:paraId="6CFC490D">
      <w:pPr>
        <w:spacing w:before="0" w:after="120"/>
      </w:pPr>
    </w:p>
    <w:p w14:paraId="41091FDA">
      <w:pPr>
        <w:pStyle w:val="4"/>
        <w:spacing w:before="200" w:after="100"/>
      </w:pPr>
      <w:r>
        <w:rPr>
          <w:rFonts w:ascii="Arial" w:hAnsi="Arial" w:eastAsia="Arial" w:cs="Arial"/>
          <w:b/>
          <w:bCs/>
          <w:color w:val="2E75B6"/>
          <w:sz w:val="22"/>
          <w:szCs w:val="22"/>
        </w:rPr>
        <w:t>Mitigation Strategy — PR-03</w:t>
      </w:r>
    </w:p>
    <w:p w14:paraId="72A33E43">
      <w:pPr>
        <w:pStyle w:val="16"/>
        <w:numPr>
          <w:ilvl w:val="0"/>
          <w:numId w:val="1"/>
        </w:numPr>
        <w:spacing w:before="40" w:after="40"/>
      </w:pPr>
      <w:r>
        <w:rPr>
          <w:rFonts w:ascii="Arial" w:hAnsi="Arial" w:eastAsia="Arial" w:cs="Arial"/>
          <w:sz w:val="22"/>
          <w:szCs w:val="22"/>
        </w:rPr>
        <w:t>Resume files stored in Firebase Storage with per-user IAM paths: users/{uid}/resumes/*. No public URLs — all access via signed URLs with 1-hour expiry.</w:t>
      </w:r>
    </w:p>
    <w:p w14:paraId="147204CB">
      <w:pPr>
        <w:pStyle w:val="16"/>
        <w:numPr>
          <w:ilvl w:val="0"/>
          <w:numId w:val="1"/>
        </w:numPr>
        <w:spacing w:before="40" w:after="40"/>
      </w:pPr>
      <w:r>
        <w:rPr>
          <w:rFonts w:ascii="Arial" w:hAnsi="Arial" w:eastAsia="Arial" w:cs="Arial"/>
          <w:sz w:val="22"/>
          <w:szCs w:val="22"/>
        </w:rPr>
        <w:t>Firestore security rules: Users can read/write only their own documents. Agents can read (not write) their assigned students' profiles. Admins have full access (audited).</w:t>
      </w:r>
    </w:p>
    <w:p w14:paraId="1E767E85">
      <w:pPr>
        <w:pStyle w:val="16"/>
        <w:numPr>
          <w:ilvl w:val="0"/>
          <w:numId w:val="1"/>
        </w:numPr>
        <w:spacing w:before="40" w:after="40"/>
      </w:pPr>
      <w:r>
        <w:rPr>
          <w:rFonts w:ascii="Arial" w:hAnsi="Arial" w:eastAsia="Arial" w:cs="Arial"/>
          <w:sz w:val="22"/>
          <w:szCs w:val="22"/>
        </w:rPr>
        <w:t>Encryption: Firebase Storage and Firestore use AES-256 at rest by default. In transit: TLS 1.3 enforced. See DOC-07 for full encryption spec.</w:t>
      </w:r>
    </w:p>
    <w:p w14:paraId="6DAD9314">
      <w:pPr>
        <w:pStyle w:val="16"/>
        <w:numPr>
          <w:ilvl w:val="0"/>
          <w:numId w:val="1"/>
        </w:numPr>
        <w:spacing w:before="40" w:after="40"/>
      </w:pPr>
      <w:r>
        <w:rPr>
          <w:rFonts w:ascii="Arial" w:hAnsi="Arial" w:eastAsia="Arial" w:cs="Arial"/>
          <w:sz w:val="22"/>
          <w:szCs w:val="22"/>
        </w:rPr>
        <w:t>No PII in logs: Cloud Functions logging strips email, phone, and resume content before writing to Cloud Logging. Structured log fields are whitelisted.</w:t>
      </w:r>
    </w:p>
    <w:p w14:paraId="4B3D05FC">
      <w:pPr>
        <w:pStyle w:val="16"/>
        <w:numPr>
          <w:ilvl w:val="0"/>
          <w:numId w:val="1"/>
        </w:numPr>
        <w:spacing w:before="40" w:after="40"/>
      </w:pPr>
      <w:r>
        <w:rPr>
          <w:rFonts w:ascii="Arial" w:hAnsi="Arial" w:eastAsia="Arial" w:cs="Arial"/>
          <w:sz w:val="22"/>
          <w:szCs w:val="22"/>
        </w:rPr>
        <w:t>Breach response plan: Documented in DOC-07. 72-hour notification window per GDPR. DPDP Act India: notify DPBI within 72 hours of discovery.</w:t>
      </w:r>
    </w:p>
    <w:p w14:paraId="7D445213">
      <w:pPr>
        <w:spacing w:before="0" w:after="200"/>
      </w:pPr>
    </w:p>
    <w:p w14:paraId="3905E5FF">
      <w:pPr>
        <w:pStyle w:val="3"/>
        <w:spacing w:before="300" w:after="120"/>
      </w:pPr>
      <w:r>
        <w:rPr>
          <w:rFonts w:ascii="Arial" w:hAnsi="Arial" w:eastAsia="Arial" w:cs="Arial"/>
          <w:b/>
          <w:bCs/>
          <w:color w:val="1B3A5C"/>
          <w:sz w:val="26"/>
          <w:szCs w:val="26"/>
        </w:rPr>
        <w:t>4.4 PR-04 through PR-06 — Supporting Product Risks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
        <w:gridCol w:w="2200"/>
        <w:gridCol w:w="6457"/>
      </w:tblGrid>
      <w:tr w14:paraId="4C3E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17B2B53">
            <w:r>
              <w:rPr>
                <w:rFonts w:ascii="Arial" w:hAnsi="Arial" w:eastAsia="Arial" w:cs="Arial"/>
                <w:b/>
                <w:bCs/>
                <w:color w:val="FFFFFF"/>
                <w:sz w:val="20"/>
                <w:szCs w:val="20"/>
              </w:rPr>
              <w:t>Risk ID</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B519DE1">
            <w:r>
              <w:rPr>
                <w:rFonts w:ascii="Arial" w:hAnsi="Arial" w:eastAsia="Arial" w:cs="Arial"/>
                <w:b/>
                <w:bCs/>
                <w:color w:val="FFFFFF"/>
                <w:sz w:val="20"/>
                <w:szCs w:val="20"/>
              </w:rPr>
              <w:t>Risk</w:t>
            </w:r>
          </w:p>
        </w:tc>
        <w:tc>
          <w:tcPr>
            <w:tcW w:w="64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996C412">
            <w:r>
              <w:rPr>
                <w:rFonts w:ascii="Arial" w:hAnsi="Arial" w:eastAsia="Arial" w:cs="Arial"/>
                <w:b/>
                <w:bCs/>
                <w:color w:val="FFFFFF"/>
                <w:sz w:val="20"/>
                <w:szCs w:val="20"/>
              </w:rPr>
              <w:t>Key Mitigation</w:t>
            </w:r>
          </w:p>
        </w:tc>
      </w:tr>
      <w:tr w14:paraId="3CB0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D8C6A7">
            <w:r>
              <w:rPr>
                <w:rFonts w:ascii="Arial" w:hAnsi="Arial" w:eastAsia="Arial" w:cs="Arial"/>
                <w:color w:val="0D1B2A"/>
                <w:sz w:val="20"/>
                <w:szCs w:val="20"/>
              </w:rPr>
              <w:t>PR-04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E91FB7">
            <w:r>
              <w:rPr>
                <w:rFonts w:ascii="Arial" w:hAnsi="Arial" w:eastAsia="Arial" w:cs="Arial"/>
                <w:color w:val="0D1B2A"/>
                <w:sz w:val="20"/>
                <w:szCs w:val="20"/>
              </w:rPr>
              <w:t>Stripe payment fraud / chargebacks</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CF53AA">
            <w:r>
              <w:rPr>
                <w:rFonts w:ascii="Arial" w:hAnsi="Arial" w:eastAsia="Arial" w:cs="Arial"/>
                <w:color w:val="0D1B2A"/>
                <w:sz w:val="20"/>
                <w:szCs w:val="20"/>
              </w:rPr>
              <w:t>Stripe Radar fraud rules enabled. Subscription webhooks verified via signature. Refund policy: 7-day no-questions for first charge only.</w:t>
            </w:r>
          </w:p>
        </w:tc>
      </w:tr>
      <w:tr w14:paraId="52B8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DAE1C0C">
            <w:r>
              <w:rPr>
                <w:rFonts w:ascii="Arial" w:hAnsi="Arial" w:eastAsia="Arial" w:cs="Arial"/>
                <w:color w:val="0D1B2A"/>
                <w:sz w:val="20"/>
                <w:szCs w:val="20"/>
              </w:rPr>
              <w:t>PR-05</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F5C6D3">
            <w:r>
              <w:rPr>
                <w:rFonts w:ascii="Arial" w:hAnsi="Arial" w:eastAsia="Arial" w:cs="Arial"/>
                <w:color w:val="0D1B2A"/>
                <w:sz w:val="20"/>
                <w:szCs w:val="20"/>
              </w:rPr>
              <w:t>Feature creep delaying MVP</w:t>
            </w:r>
          </w:p>
        </w:tc>
        <w:tc>
          <w:tcPr>
            <w:tcW w:w="6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87424DD">
            <w:r>
              <w:rPr>
                <w:rFonts w:ascii="Arial" w:hAnsi="Arial" w:eastAsia="Arial" w:cs="Arial"/>
                <w:color w:val="0D1B2A"/>
                <w:sz w:val="20"/>
                <w:szCs w:val="20"/>
              </w:rPr>
              <w:t>12-week locked MVP scope (DOC-11). Any new feature request is queued to Phase 2 backlog. Product owner has veto over scope additions.</w:t>
            </w:r>
          </w:p>
        </w:tc>
      </w:tr>
      <w:tr w14:paraId="0D1E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C941C0">
            <w:r>
              <w:rPr>
                <w:rFonts w:ascii="Arial" w:hAnsi="Arial" w:eastAsia="Arial" w:cs="Arial"/>
                <w:color w:val="0D1B2A"/>
                <w:sz w:val="20"/>
                <w:szCs w:val="20"/>
              </w:rPr>
              <w:t>PR-06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3E286F">
            <w:r>
              <w:rPr>
                <w:rFonts w:ascii="Arial" w:hAnsi="Arial" w:eastAsia="Arial" w:cs="Arial"/>
                <w:color w:val="0D1B2A"/>
                <w:sz w:val="20"/>
                <w:szCs w:val="20"/>
              </w:rPr>
              <w:t>Low user activation</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387552">
            <w:r>
              <w:rPr>
                <w:rFonts w:ascii="Arial" w:hAnsi="Arial" w:eastAsia="Arial" w:cs="Arial"/>
                <w:color w:val="0D1B2A"/>
                <w:sz w:val="20"/>
                <w:szCs w:val="20"/>
              </w:rPr>
              <w:t>Onboarding checklist with progress bar. First application fires within 24h of profile completion. Welcome email sequence (D0, D3, D7) via SendGrid.</w:t>
            </w:r>
          </w:p>
        </w:tc>
      </w:tr>
    </w:tbl>
    <w:p w14:paraId="37D1270D">
      <w:pPr>
        <w:spacing w:before="0" w:after="240"/>
      </w:pPr>
    </w:p>
    <w:p w14:paraId="5DCF3BB8">
      <w:pPr>
        <w:pStyle w:val="2"/>
        <w:spacing w:before="400" w:after="160"/>
      </w:pPr>
      <w:r>
        <w:rPr>
          <w:rFonts w:ascii="Arial" w:hAnsi="Arial" w:eastAsia="Arial" w:cs="Arial"/>
          <w:b/>
          <w:bCs/>
          <w:color w:val="0D1B2A"/>
          <w:sz w:val="32"/>
          <w:szCs w:val="32"/>
        </w:rPr>
        <w:t>5. Ethical Concerns</w:t>
      </w:r>
    </w:p>
    <w:p w14:paraId="0CC2B226">
      <w:pPr>
        <w:spacing w:before="60" w:after="80"/>
      </w:pPr>
      <w:r>
        <w:rPr>
          <w:rFonts w:ascii="Arial" w:hAnsi="Arial" w:eastAsia="Arial" w:cs="Arial"/>
          <w:sz w:val="22"/>
          <w:szCs w:val="22"/>
        </w:rPr>
        <w:t>Bench Sales's automation of job applications creates genuine ethical tensions that are not fully resolvable through technical means alone. This section examines each concern candidly and documents the company's position and response.</w:t>
      </w:r>
    </w:p>
    <w:p w14:paraId="630D8698">
      <w:pPr>
        <w:spacing w:before="0" w:after="160"/>
      </w:pPr>
    </w:p>
    <w:p w14:paraId="18202E69">
      <w:pPr>
        <w:pStyle w:val="3"/>
        <w:spacing w:before="300" w:after="120"/>
      </w:pPr>
      <w:r>
        <w:rPr>
          <w:rFonts w:ascii="Arial" w:hAnsi="Arial" w:eastAsia="Arial" w:cs="Arial"/>
          <w:b/>
          <w:bCs/>
          <w:color w:val="1B3A5C"/>
          <w:sz w:val="26"/>
          <w:szCs w:val="26"/>
        </w:rPr>
        <w:t>5.1 ET-01 — Automating Without Fully Informed Consent (High)</w:t>
      </w:r>
    </w:p>
    <w:p w14:paraId="3200438D">
      <w:pPr>
        <w:spacing w:before="60" w:after="80"/>
      </w:pPr>
      <w:r>
        <w:rPr>
          <w:rFonts w:ascii="Arial" w:hAnsi="Arial" w:eastAsia="Arial" w:cs="Arial"/>
          <w:sz w:val="22"/>
          <w:szCs w:val="22"/>
        </w:rPr>
        <w:t>Users may not fully understand that their account is submitting applications to third-party ATS platforms on their behalf — with AI-generated content — using their identity. Incomplete understanding constitutes incomplete informed consent.</w:t>
      </w:r>
    </w:p>
    <w:p w14:paraId="28CBA52E">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160"/>
      </w:tblGrid>
      <w:tr w14:paraId="44C8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D80E91B">
            <w:r>
              <w:rPr>
                <w:rFonts w:ascii="Arial" w:hAnsi="Arial" w:eastAsia="Arial" w:cs="Arial"/>
                <w:b/>
                <w:bCs/>
                <w:color w:val="FFFFFF"/>
                <w:sz w:val="20"/>
                <w:szCs w:val="20"/>
              </w:rPr>
              <w:t>Consent Element</w:t>
            </w:r>
          </w:p>
        </w:tc>
        <w:tc>
          <w:tcPr>
            <w:tcW w:w="3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0C22A9E">
            <w:r>
              <w:rPr>
                <w:rFonts w:ascii="Arial" w:hAnsi="Arial" w:eastAsia="Arial" w:cs="Arial"/>
                <w:b/>
                <w:bCs/>
                <w:color w:val="FFFFFF"/>
                <w:sz w:val="20"/>
                <w:szCs w:val="20"/>
              </w:rPr>
              <w:t>Required Disclosure</w:t>
            </w:r>
          </w:p>
        </w:tc>
        <w:tc>
          <w:tcPr>
            <w:tcW w:w="41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4B5B6BA">
            <w:r>
              <w:rPr>
                <w:rFonts w:ascii="Arial" w:hAnsi="Arial" w:eastAsia="Arial" w:cs="Arial"/>
                <w:b/>
                <w:bCs/>
                <w:color w:val="FFFFFF"/>
                <w:sz w:val="20"/>
                <w:szCs w:val="20"/>
              </w:rPr>
              <w:t>Implementation</w:t>
            </w:r>
          </w:p>
        </w:tc>
      </w:tr>
      <w:tr w14:paraId="6FC7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518E2D">
            <w:r>
              <w:rPr>
                <w:rFonts w:ascii="Arial" w:hAnsi="Arial" w:eastAsia="Arial" w:cs="Arial"/>
                <w:color w:val="0D1B2A"/>
                <w:sz w:val="20"/>
                <w:szCs w:val="20"/>
              </w:rPr>
              <w:t>AI-generated content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AA572E">
            <w:r>
              <w:rPr>
                <w:rFonts w:ascii="Arial" w:hAnsi="Arial" w:eastAsia="Arial" w:cs="Arial"/>
                <w:color w:val="0D1B2A"/>
                <w:sz w:val="20"/>
                <w:szCs w:val="20"/>
              </w:rPr>
              <w:t>User is told that cover letters and tailored summaries are AI-generated, not written by them</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19AE22">
            <w:r>
              <w:rPr>
                <w:rFonts w:ascii="Arial" w:hAnsi="Arial" w:eastAsia="Arial" w:cs="Arial"/>
                <w:color w:val="0D1B2A"/>
                <w:sz w:val="20"/>
                <w:szCs w:val="20"/>
              </w:rPr>
              <w:t>Onboarding screen 3: explicit disclosure with example. Consent checkbox required.</w:t>
            </w:r>
          </w:p>
        </w:tc>
      </w:tr>
      <w:tr w14:paraId="078B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DA0426">
            <w:r>
              <w:rPr>
                <w:rFonts w:ascii="Arial" w:hAnsi="Arial" w:eastAsia="Arial" w:cs="Arial"/>
                <w:color w:val="0D1B2A"/>
                <w:sz w:val="20"/>
                <w:szCs w:val="20"/>
              </w:rPr>
              <w:t>Automated submission</w:t>
            </w:r>
          </w:p>
        </w:tc>
        <w:tc>
          <w:tcPr>
            <w:tcW w:w="3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41AC94A">
            <w:r>
              <w:rPr>
                <w:rFonts w:ascii="Arial" w:hAnsi="Arial" w:eastAsia="Arial" w:cs="Arial"/>
                <w:color w:val="0D1B2A"/>
                <w:sz w:val="20"/>
                <w:szCs w:val="20"/>
              </w:rPr>
              <w:t>User is told Bench Sales will submit applications autonomously without per-application approval</w:t>
            </w:r>
          </w:p>
        </w:tc>
        <w:tc>
          <w:tcPr>
            <w:tcW w:w="4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B7ECDD">
            <w:r>
              <w:rPr>
                <w:rFonts w:ascii="Arial" w:hAnsi="Arial" w:eastAsia="Arial" w:cs="Arial"/>
                <w:color w:val="0D1B2A"/>
                <w:sz w:val="20"/>
                <w:szCs w:val="20"/>
              </w:rPr>
              <w:t>Terms of Service section 4.1. Onboarding confirmation modal before first run.</w:t>
            </w:r>
          </w:p>
        </w:tc>
      </w:tr>
      <w:tr w14:paraId="1898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1680FB">
            <w:r>
              <w:rPr>
                <w:rFonts w:ascii="Arial" w:hAnsi="Arial" w:eastAsia="Arial" w:cs="Arial"/>
                <w:color w:val="0D1B2A"/>
                <w:sz w:val="20"/>
                <w:szCs w:val="20"/>
              </w:rPr>
              <w:t>Identity use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271C30">
            <w:r>
              <w:rPr>
                <w:rFonts w:ascii="Arial" w:hAnsi="Arial" w:eastAsia="Arial" w:cs="Arial"/>
                <w:color w:val="0D1B2A"/>
                <w:sz w:val="20"/>
                <w:szCs w:val="20"/>
              </w:rPr>
              <w:t>User understands their name, contact info, and resume are sent to employers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E8191E">
            <w:r>
              <w:rPr>
                <w:rFonts w:ascii="Arial" w:hAnsi="Arial" w:eastAsia="Arial" w:cs="Arial"/>
                <w:color w:val="0D1B2A"/>
                <w:sz w:val="20"/>
                <w:szCs w:val="20"/>
              </w:rPr>
              <w:t>Explicit in onboarding. Profile review step shows exactly what data is shared.</w:t>
            </w:r>
          </w:p>
        </w:tc>
      </w:tr>
      <w:tr w14:paraId="7D70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000DC9C">
            <w:r>
              <w:rPr>
                <w:rFonts w:ascii="Arial" w:hAnsi="Arial" w:eastAsia="Arial" w:cs="Arial"/>
                <w:color w:val="0D1B2A"/>
                <w:sz w:val="20"/>
                <w:szCs w:val="20"/>
              </w:rPr>
              <w:t>Platform ToS risk</w:t>
            </w:r>
          </w:p>
        </w:tc>
        <w:tc>
          <w:tcPr>
            <w:tcW w:w="3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ECED79A">
            <w:r>
              <w:rPr>
                <w:rFonts w:ascii="Arial" w:hAnsi="Arial" w:eastAsia="Arial" w:cs="Arial"/>
                <w:color w:val="0D1B2A"/>
                <w:sz w:val="20"/>
                <w:szCs w:val="20"/>
              </w:rPr>
              <w:t>User is informed that some platforms prohibit automated applications</w:t>
            </w:r>
          </w:p>
        </w:tc>
        <w:tc>
          <w:tcPr>
            <w:tcW w:w="4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AD8602">
            <w:r>
              <w:rPr>
                <w:rFonts w:ascii="Arial" w:hAnsi="Arial" w:eastAsia="Arial" w:cs="Arial"/>
                <w:color w:val="0D1B2A"/>
                <w:sz w:val="20"/>
                <w:szCs w:val="20"/>
              </w:rPr>
              <w:t>ToS disclosure in onboarding. User acknowledges risk checkbox.</w:t>
            </w:r>
          </w:p>
        </w:tc>
      </w:tr>
      <w:tr w14:paraId="38A7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C4F8EF">
            <w:r>
              <w:rPr>
                <w:rFonts w:ascii="Arial" w:hAnsi="Arial" w:eastAsia="Arial" w:cs="Arial"/>
                <w:color w:val="0D1B2A"/>
                <w:sz w:val="20"/>
                <w:szCs w:val="20"/>
              </w:rPr>
              <w:t>Data storage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387FD1">
            <w:r>
              <w:rPr>
                <w:rFonts w:ascii="Arial" w:hAnsi="Arial" w:eastAsia="Arial" w:cs="Arial"/>
                <w:color w:val="0D1B2A"/>
                <w:sz w:val="20"/>
                <w:szCs w:val="20"/>
              </w:rPr>
              <w:t>User knows their resume and work history are stored on Bench Sales servers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99B589">
            <w:r>
              <w:rPr>
                <w:rFonts w:ascii="Arial" w:hAnsi="Arial" w:eastAsia="Arial" w:cs="Arial"/>
                <w:color w:val="0D1B2A"/>
                <w:sz w:val="20"/>
                <w:szCs w:val="20"/>
              </w:rPr>
              <w:t>Privacy Policy v1.0 linked at signup. In-app: Settings &gt; Privacy &gt; My Data.</w:t>
            </w:r>
          </w:p>
        </w:tc>
      </w:tr>
    </w:tbl>
    <w:p w14:paraId="78A0C675">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C1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482F6FAD">
            <w:pPr>
              <w:spacing w:before="40" w:after="40"/>
            </w:pPr>
            <w:r>
              <w:rPr>
                <w:rFonts w:ascii="Arial" w:hAnsi="Arial" w:eastAsia="Arial" w:cs="Arial"/>
                <w:color w:val="1B3A5C"/>
                <w:sz w:val="20"/>
                <w:szCs w:val="20"/>
              </w:rPr>
              <w:t>Design Principle: Consent must be informed, specific, and revocable at any time.</w:t>
            </w:r>
          </w:p>
          <w:p w14:paraId="54362D41">
            <w:pPr>
              <w:spacing w:before="40" w:after="40"/>
            </w:pPr>
            <w:r>
              <w:rPr>
                <w:rFonts w:ascii="Arial" w:hAnsi="Arial" w:eastAsia="Arial" w:cs="Arial"/>
                <w:color w:val="1B3A5C"/>
                <w:sz w:val="20"/>
                <w:szCs w:val="20"/>
              </w:rPr>
              <w:t>Opt-out: Any user can pause automation instantly from the dashboard. All queued applications are cancelled.</w:t>
            </w:r>
          </w:p>
          <w:p w14:paraId="657F093B">
            <w:pPr>
              <w:spacing w:before="40" w:after="40"/>
            </w:pPr>
            <w:r>
              <w:rPr>
                <w:rFonts w:ascii="Arial" w:hAnsi="Arial" w:eastAsia="Arial" w:cs="Arial"/>
                <w:color w:val="1B3A5C"/>
                <w:sz w:val="20"/>
                <w:szCs w:val="20"/>
              </w:rPr>
              <w:t>Data deletion: Users can request full account + data deletion from Settings. Deletion is executed within 30 days (GDPR right to erasure).</w:t>
            </w:r>
          </w:p>
        </w:tc>
      </w:tr>
    </w:tbl>
    <w:p w14:paraId="63B29492">
      <w:pPr>
        <w:spacing w:before="0" w:after="200"/>
      </w:pPr>
    </w:p>
    <w:p w14:paraId="73287B7D">
      <w:pPr>
        <w:pStyle w:val="3"/>
        <w:spacing w:before="300" w:after="120"/>
      </w:pPr>
      <w:r>
        <w:rPr>
          <w:rFonts w:ascii="Arial" w:hAnsi="Arial" w:eastAsia="Arial" w:cs="Arial"/>
          <w:b/>
          <w:bCs/>
          <w:color w:val="1B3A5C"/>
          <w:sz w:val="26"/>
          <w:szCs w:val="26"/>
        </w:rPr>
        <w:t>5.2 ET-02 — AI Generating Misleading Application Content (High)</w:t>
      </w:r>
    </w:p>
    <w:p w14:paraId="050163E5">
      <w:pPr>
        <w:spacing w:before="60" w:after="80"/>
      </w:pPr>
      <w:r>
        <w:rPr>
          <w:rFonts w:ascii="Arial" w:hAnsi="Arial" w:eastAsia="Arial" w:cs="Arial"/>
          <w:sz w:val="22"/>
          <w:szCs w:val="22"/>
        </w:rPr>
        <w:t>There is a meaningful difference between AI helping a user express their genuine skills more effectively, and AI fabricating or exaggerating qualifications. The former is ethically defensible; the latter is deceptive and potentially fraudulent.</w:t>
      </w:r>
    </w:p>
    <w:p w14:paraId="7E21C988">
      <w:pPr>
        <w:spacing w:before="0" w:after="120"/>
      </w:pPr>
    </w:p>
    <w:p w14:paraId="13D691FA">
      <w:pPr>
        <w:pStyle w:val="4"/>
        <w:spacing w:before="200" w:after="100"/>
      </w:pPr>
      <w:r>
        <w:rPr>
          <w:rFonts w:ascii="Arial" w:hAnsi="Arial" w:eastAsia="Arial" w:cs="Arial"/>
          <w:b/>
          <w:bCs/>
          <w:color w:val="2E75B6"/>
          <w:sz w:val="22"/>
          <w:szCs w:val="22"/>
        </w:rPr>
        <w:t>Company Position — ET-02</w:t>
      </w:r>
    </w:p>
    <w:p w14:paraId="38E57D5A">
      <w:pPr>
        <w:spacing w:before="60" w:after="80"/>
      </w:pPr>
      <w:r>
        <w:rPr>
          <w:rFonts w:ascii="Arial" w:hAnsi="Arial" w:eastAsia="Arial" w:cs="Arial"/>
          <w:sz w:val="22"/>
          <w:szCs w:val="22"/>
        </w:rPr>
        <w:t>Bench Sales draws a clear line: AI may rephrase, reformat, and emphasise — it may not fabricate. The following constraints are enforced in all AI prompts: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B0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2703B292">
            <w:pPr>
              <w:spacing w:before="20" w:after="20"/>
            </w:pPr>
            <w:r>
              <w:rPr>
                <w:rFonts w:ascii="Courier New" w:hAnsi="Courier New" w:eastAsia="Courier New" w:cs="Courier New"/>
                <w:color w:val="A8D8EA"/>
                <w:sz w:val="18"/>
                <w:szCs w:val="18"/>
              </w:rPr>
              <w:t>// System prompt constraint — enforced in all tailoring and cover letter prompts</w:t>
            </w:r>
          </w:p>
          <w:p w14:paraId="71578818">
            <w:pPr>
              <w:spacing w:before="20" w:after="20"/>
            </w:pPr>
            <w:r>
              <w:rPr>
                <w:rFonts w:ascii="Courier New" w:hAnsi="Courier New" w:eastAsia="Courier New" w:cs="Courier New"/>
                <w:color w:val="A8D8EA"/>
                <w:sz w:val="18"/>
                <w:szCs w:val="18"/>
              </w:rPr>
              <w:t>// File: functions/src/ai/prompts/constraints.ts</w:t>
            </w:r>
          </w:p>
          <w:p w14:paraId="4B01B43A">
            <w:pPr>
              <w:spacing w:before="20" w:after="20"/>
            </w:pPr>
            <w:r>
              <w:rPr>
                <w:rFonts w:ascii="Courier New" w:hAnsi="Courier New" w:eastAsia="Courier New" w:cs="Courier New"/>
                <w:color w:val="A8D8EA"/>
                <w:sz w:val="18"/>
                <w:szCs w:val="18"/>
              </w:rPr>
              <w:t xml:space="preserve"> </w:t>
            </w:r>
          </w:p>
          <w:p w14:paraId="752B3702">
            <w:pPr>
              <w:spacing w:before="20" w:after="20"/>
            </w:pPr>
            <w:r>
              <w:rPr>
                <w:rFonts w:ascii="Courier New" w:hAnsi="Courier New" w:eastAsia="Courier New" w:cs="Courier New"/>
                <w:color w:val="A8D8EA"/>
                <w:sz w:val="18"/>
                <w:szCs w:val="18"/>
              </w:rPr>
              <w:t>export const HONESTY_CONSTRAINT = `</w:t>
            </w:r>
          </w:p>
          <w:p w14:paraId="3A22F9E2">
            <w:pPr>
              <w:spacing w:before="20" w:after="20"/>
            </w:pPr>
            <w:r>
              <w:rPr>
                <w:rFonts w:ascii="Courier New" w:hAnsi="Courier New" w:eastAsia="Courier New" w:cs="Courier New"/>
                <w:color w:val="A8D8EA"/>
                <w:sz w:val="18"/>
                <w:szCs w:val="18"/>
              </w:rPr>
              <w:t>ABSOLUTE RULES — never violate these:</w:t>
            </w:r>
          </w:p>
          <w:p w14:paraId="561A082B">
            <w:pPr>
              <w:spacing w:before="20" w:after="20"/>
            </w:pPr>
            <w:r>
              <w:rPr>
                <w:rFonts w:ascii="Courier New" w:hAnsi="Courier New" w:eastAsia="Courier New" w:cs="Courier New"/>
                <w:color w:val="A8D8EA"/>
                <w:sz w:val="18"/>
                <w:szCs w:val="18"/>
              </w:rPr>
              <w:t>1. Only use skills, experiences, and qualifications explicitly present in the resume.</w:t>
            </w:r>
          </w:p>
          <w:p w14:paraId="08D93AEB">
            <w:pPr>
              <w:spacing w:before="20" w:after="20"/>
            </w:pPr>
            <w:r>
              <w:rPr>
                <w:rFonts w:ascii="Courier New" w:hAnsi="Courier New" w:eastAsia="Courier New" w:cs="Courier New"/>
                <w:color w:val="A8D8EA"/>
                <w:sz w:val="18"/>
                <w:szCs w:val="18"/>
              </w:rPr>
              <w:t>2. Never invent job titles, companies, projects, certifications, or skills.</w:t>
            </w:r>
          </w:p>
          <w:p w14:paraId="46323CAC">
            <w:pPr>
              <w:spacing w:before="20" w:after="20"/>
            </w:pPr>
            <w:r>
              <w:rPr>
                <w:rFonts w:ascii="Courier New" w:hAnsi="Courier New" w:eastAsia="Courier New" w:cs="Courier New"/>
                <w:color w:val="A8D8EA"/>
                <w:sz w:val="18"/>
                <w:szCs w:val="18"/>
              </w:rPr>
              <w:t>3. Never claim proficiency levels higher than those stated in the user profile.</w:t>
            </w:r>
          </w:p>
          <w:p w14:paraId="3F8814CA">
            <w:pPr>
              <w:spacing w:before="20" w:after="20"/>
            </w:pPr>
            <w:r>
              <w:rPr>
                <w:rFonts w:ascii="Courier New" w:hAnsi="Courier New" w:eastAsia="Courier New" w:cs="Courier New"/>
                <w:color w:val="A8D8EA"/>
                <w:sz w:val="18"/>
                <w:szCs w:val="18"/>
              </w:rPr>
              <w:t>4. Never fabricate metrics (e.g. "increased revenue by 40%") unless the user provided them.</w:t>
            </w:r>
          </w:p>
          <w:p w14:paraId="164DE783">
            <w:pPr>
              <w:spacing w:before="20" w:after="20"/>
            </w:pPr>
            <w:r>
              <w:rPr>
                <w:rFonts w:ascii="Courier New" w:hAnsi="Courier New" w:eastAsia="Courier New" w:cs="Courier New"/>
                <w:color w:val="A8D8EA"/>
                <w:sz w:val="18"/>
                <w:szCs w:val="18"/>
              </w:rPr>
              <w:t>5. If the job requires a qualification the user lacks, do NOT claim they have it.</w:t>
            </w:r>
          </w:p>
          <w:p w14:paraId="7178C50C">
            <w:pPr>
              <w:spacing w:before="20" w:after="20"/>
            </w:pPr>
            <w:r>
              <w:rPr>
                <w:rFonts w:ascii="Courier New" w:hAnsi="Courier New" w:eastAsia="Courier New" w:cs="Courier New"/>
                <w:color w:val="A8D8EA"/>
                <w:sz w:val="18"/>
                <w:szCs w:val="18"/>
              </w:rPr>
              <w:t xml:space="preserve">   Instead, emphasise transferable skills and genuine enthusiasm.</w:t>
            </w:r>
          </w:p>
          <w:p w14:paraId="28D31DA7">
            <w:pPr>
              <w:spacing w:before="20" w:after="20"/>
            </w:pPr>
            <w:r>
              <w:rPr>
                <w:rFonts w:ascii="Courier New" w:hAnsi="Courier New" w:eastAsia="Courier New" w:cs="Courier New"/>
                <w:color w:val="A8D8EA"/>
                <w:sz w:val="18"/>
                <w:szCs w:val="18"/>
              </w:rPr>
              <w:t>6. If you cannot write a compelling cover letter without fabricating content,</w:t>
            </w:r>
          </w:p>
          <w:p w14:paraId="75A880CB">
            <w:pPr>
              <w:spacing w:before="20" w:after="20"/>
            </w:pPr>
            <w:r>
              <w:rPr>
                <w:rFonts w:ascii="Courier New" w:hAnsi="Courier New" w:eastAsia="Courier New" w:cs="Courier New"/>
                <w:color w:val="A8D8EA"/>
                <w:sz w:val="18"/>
                <w:szCs w:val="18"/>
              </w:rPr>
              <w:t xml:space="preserve">   return: { "cannotApply": true, "reason": "insufficient_qualification_match" }</w:t>
            </w:r>
          </w:p>
          <w:p w14:paraId="51559232">
            <w:pPr>
              <w:spacing w:before="20" w:after="20"/>
            </w:pPr>
            <w:r>
              <w:rPr>
                <w:rFonts w:ascii="Courier New" w:hAnsi="Courier New" w:eastAsia="Courier New" w:cs="Courier New"/>
                <w:color w:val="A8D8EA"/>
                <w:sz w:val="18"/>
                <w:szCs w:val="18"/>
              </w:rPr>
              <w:t>`;</w:t>
            </w:r>
          </w:p>
        </w:tc>
      </w:tr>
    </w:tbl>
    <w:p w14:paraId="03A65647">
      <w:pPr>
        <w:spacing w:before="0" w:after="160"/>
      </w:pPr>
    </w:p>
    <w:p w14:paraId="1B0F7E13">
      <w:pPr>
        <w:pStyle w:val="16"/>
        <w:numPr>
          <w:ilvl w:val="0"/>
          <w:numId w:val="1"/>
        </w:numPr>
        <w:spacing w:before="40" w:after="40"/>
      </w:pPr>
      <w:r>
        <w:rPr>
          <w:rFonts w:ascii="Arial" w:hAnsi="Arial" w:eastAsia="Arial" w:cs="Arial"/>
          <w:sz w:val="22"/>
          <w:szCs w:val="22"/>
        </w:rPr>
        <w:t>Content disclosure: All AI-generated text includes a metadata flag (isAIGenerated: true) stored with the application record. Future feature: in-app disclosure label on submitted applications.</w:t>
      </w:r>
    </w:p>
    <w:p w14:paraId="6DE3756D">
      <w:pPr>
        <w:pStyle w:val="16"/>
        <w:numPr>
          <w:ilvl w:val="0"/>
          <w:numId w:val="1"/>
        </w:numPr>
        <w:spacing w:before="40" w:after="40"/>
      </w:pPr>
      <w:r>
        <w:rPr>
          <w:rFonts w:ascii="Arial" w:hAnsi="Arial" w:eastAsia="Arial" w:cs="Arial"/>
          <w:sz w:val="22"/>
          <w:szCs w:val="22"/>
        </w:rPr>
        <w:t>User editing: Before Tier-1 application windows, users with preview mode enabled can edit AI-generated cover letters. Changes are tracked and preferred style is learned.</w:t>
      </w:r>
    </w:p>
    <w:p w14:paraId="138F9A55">
      <w:pPr>
        <w:spacing w:before="0" w:after="200"/>
      </w:pPr>
    </w:p>
    <w:p w14:paraId="26787899">
      <w:pPr>
        <w:pStyle w:val="3"/>
        <w:spacing w:before="300" w:after="120"/>
      </w:pPr>
      <w:r>
        <w:rPr>
          <w:rFonts w:ascii="Arial" w:hAnsi="Arial" w:eastAsia="Arial" w:cs="Arial"/>
          <w:b/>
          <w:bCs/>
          <w:color w:val="1B3A5C"/>
          <w:sz w:val="26"/>
          <w:szCs w:val="26"/>
        </w:rPr>
        <w:t>5.3 ET-03 — Negative Impact on Job Market Fairness (Medium)</w:t>
      </w:r>
    </w:p>
    <w:p w14:paraId="3DD53964">
      <w:pPr>
        <w:spacing w:before="60" w:after="80"/>
      </w:pPr>
      <w:r>
        <w:rPr>
          <w:rFonts w:ascii="Arial" w:hAnsi="Arial" w:eastAsia="Arial" w:cs="Arial"/>
          <w:sz w:val="22"/>
          <w:szCs w:val="22"/>
        </w:rPr>
        <w:t>If automation tools like Bench Sales become widespread, they create an arms race: platforms build more barriers, recruiters receive more low-quality applications, and candidates without access to automation tools are disadvantaged.</w:t>
      </w:r>
    </w:p>
    <w:p w14:paraId="61C6DC1F">
      <w:pPr>
        <w:spacing w:before="0" w:after="120"/>
      </w:pPr>
    </w:p>
    <w:p w14:paraId="75F113AE">
      <w:pPr>
        <w:pStyle w:val="4"/>
        <w:spacing w:before="200" w:after="100"/>
      </w:pPr>
      <w:r>
        <w:rPr>
          <w:rFonts w:ascii="Arial" w:hAnsi="Arial" w:eastAsia="Arial" w:cs="Arial"/>
          <w:b/>
          <w:bCs/>
          <w:color w:val="2E75B6"/>
          <w:sz w:val="22"/>
          <w:szCs w:val="22"/>
        </w:rPr>
        <w:t>Company Position — ET-03</w:t>
      </w:r>
    </w:p>
    <w:p w14:paraId="3BE0A9ED">
      <w:pPr>
        <w:spacing w:before="60" w:after="80"/>
      </w:pPr>
      <w:r>
        <w:rPr>
          <w:rFonts w:ascii="Arial" w:hAnsi="Arial" w:eastAsia="Arial" w:cs="Arial"/>
          <w:sz w:val="22"/>
          <w:szCs w:val="22"/>
        </w:rPr>
        <w:t>We acknowledge this tension openly. Our mitigations are pragmatic rather than aspirational:</w:t>
      </w:r>
    </w:p>
    <w:p w14:paraId="0D98FC7E">
      <w:pPr>
        <w:pStyle w:val="16"/>
        <w:numPr>
          <w:ilvl w:val="0"/>
          <w:numId w:val="1"/>
        </w:numPr>
        <w:spacing w:before="40" w:after="40"/>
      </w:pPr>
      <w:r>
        <w:rPr>
          <w:rFonts w:ascii="Arial" w:hAnsi="Arial" w:eastAsia="Arial" w:cs="Arial"/>
          <w:sz w:val="22"/>
          <w:szCs w:val="22"/>
        </w:rPr>
        <w:t>Quality over volume: The platform caps applications at 15/day, not 150/day. We actively discourage users from applying to jobs below 65% match — even though higher volume would increase revenue.</w:t>
      </w:r>
    </w:p>
    <w:p w14:paraId="714E63F6">
      <w:pPr>
        <w:pStyle w:val="16"/>
        <w:numPr>
          <w:ilvl w:val="0"/>
          <w:numId w:val="1"/>
        </w:numPr>
        <w:spacing w:before="40" w:after="40"/>
      </w:pPr>
      <w:r>
        <w:rPr>
          <w:rFonts w:ascii="Arial" w:hAnsi="Arial" w:eastAsia="Arial" w:cs="Arial"/>
          <w:sz w:val="22"/>
          <w:szCs w:val="22"/>
        </w:rPr>
        <w:t>Match quality enforcement: Applications that score below minimum threshold are blocked regardless of user preference. We are deliberately not a "spray and pray" tool.</w:t>
      </w:r>
    </w:p>
    <w:p w14:paraId="686A54C8">
      <w:pPr>
        <w:pStyle w:val="16"/>
        <w:numPr>
          <w:ilvl w:val="0"/>
          <w:numId w:val="1"/>
        </w:numPr>
        <w:spacing w:before="40" w:after="40"/>
      </w:pPr>
      <w:r>
        <w:rPr>
          <w:rFonts w:ascii="Arial" w:hAnsi="Arial" w:eastAsia="Arial" w:cs="Arial"/>
          <w:sz w:val="22"/>
          <w:szCs w:val="22"/>
        </w:rPr>
        <w:t>Candidate empowerment framing: We focus on candidates who lack time, professional networks, or job-searching skills — not on gaming the system for candidates who would succeed anyway.</w:t>
      </w:r>
    </w:p>
    <w:p w14:paraId="6CD0E6BD">
      <w:pPr>
        <w:pStyle w:val="16"/>
        <w:numPr>
          <w:ilvl w:val="0"/>
          <w:numId w:val="1"/>
        </w:numPr>
        <w:spacing w:before="40" w:after="40"/>
      </w:pPr>
      <w:r>
        <w:rPr>
          <w:rFonts w:ascii="Arial" w:hAnsi="Arial" w:eastAsia="Arial" w:cs="Arial"/>
          <w:sz w:val="22"/>
          <w:szCs w:val="22"/>
        </w:rPr>
        <w:t>Future: If regulators require automation disclosure on applications, Bench Sales will implement it before being legally required to do so.</w:t>
      </w:r>
    </w:p>
    <w:p w14:paraId="20B4B751">
      <w:pPr>
        <w:spacing w:before="0" w:after="200"/>
      </w:pPr>
    </w:p>
    <w:p w14:paraId="604F48A9">
      <w:pPr>
        <w:pStyle w:val="3"/>
        <w:spacing w:before="300" w:after="120"/>
      </w:pPr>
      <w:r>
        <w:rPr>
          <w:rFonts w:ascii="Arial" w:hAnsi="Arial" w:eastAsia="Arial" w:cs="Arial"/>
          <w:b/>
          <w:bCs/>
          <w:color w:val="1B3A5C"/>
          <w:sz w:val="26"/>
          <w:szCs w:val="26"/>
        </w:rPr>
        <w:t>5.4 ET-04 — Enabling Spam Flooding of Recruiters (Critical)</w:t>
      </w:r>
    </w:p>
    <w:p w14:paraId="37FE4A57">
      <w:pPr>
        <w:spacing w:before="60" w:after="80"/>
      </w:pPr>
      <w:r>
        <w:rPr>
          <w:rFonts w:ascii="Arial" w:hAnsi="Arial" w:eastAsia="Arial" w:cs="Arial"/>
          <w:sz w:val="22"/>
          <w:szCs w:val="22"/>
        </w:rPr>
        <w:t>If a user creates multiple accounts, or if an agent manages 50 users all applying to the same job postings, Bench Sales could flood a single recruiter with dozens of automated, AI-identical applications — degrading recruiter experience and harming real candidates.</w:t>
      </w:r>
    </w:p>
    <w:p w14:paraId="6E8FD25F">
      <w:pPr>
        <w:spacing w:before="0" w:after="120"/>
      </w:pPr>
    </w:p>
    <w:p w14:paraId="2A3DEF73">
      <w:pPr>
        <w:pStyle w:val="4"/>
        <w:spacing w:before="200" w:after="100"/>
      </w:pPr>
      <w:r>
        <w:rPr>
          <w:rFonts w:ascii="Arial" w:hAnsi="Arial" w:eastAsia="Arial" w:cs="Arial"/>
          <w:b/>
          <w:bCs/>
          <w:color w:val="2E75B6"/>
          <w:sz w:val="22"/>
          <w:szCs w:val="22"/>
        </w:rPr>
        <w:t>Mitigation Strategy — ET-04</w:t>
      </w:r>
    </w:p>
    <w:p w14:paraId="430B21CB">
      <w:pPr>
        <w:pStyle w:val="16"/>
        <w:numPr>
          <w:ilvl w:val="0"/>
          <w:numId w:val="1"/>
        </w:numPr>
        <w:spacing w:before="40" w:after="40"/>
      </w:pPr>
      <w:r>
        <w:rPr>
          <w:rFonts w:ascii="Arial" w:hAnsi="Arial" w:eastAsia="Arial" w:cs="Arial"/>
          <w:sz w:val="22"/>
          <w:szCs w:val="22"/>
        </w:rPr>
        <w:t>Per-job deduplication: The deduplication engine (DOC-04, WF-001) ensures no single job posting (by canonical URL or ATS job ID) is submitted to by more than 3 Bench Sales users per 24-hour window.</w:t>
      </w:r>
    </w:p>
    <w:p w14:paraId="5E98B3B8">
      <w:pPr>
        <w:pStyle w:val="16"/>
        <w:numPr>
          <w:ilvl w:val="0"/>
          <w:numId w:val="1"/>
        </w:numPr>
        <w:spacing w:before="40" w:after="40"/>
      </w:pPr>
      <w:r>
        <w:rPr>
          <w:rFonts w:ascii="Arial" w:hAnsi="Arial" w:eastAsia="Arial" w:cs="Arial"/>
          <w:sz w:val="22"/>
          <w:szCs w:val="22"/>
        </w:rPr>
        <w:t>Agent cluster dedup: If an agent's 50 students would all match the same job, only the top 3 by match score are submitted. Others see "quota reached for this posting".</w:t>
      </w:r>
    </w:p>
    <w:p w14:paraId="12C9B2D1">
      <w:pPr>
        <w:pStyle w:val="16"/>
        <w:numPr>
          <w:ilvl w:val="0"/>
          <w:numId w:val="1"/>
        </w:numPr>
        <w:spacing w:before="40" w:after="40"/>
      </w:pPr>
      <w:r>
        <w:rPr>
          <w:rFonts w:ascii="Arial" w:hAnsi="Arial" w:eastAsia="Arial" w:cs="Arial"/>
          <w:sz w:val="22"/>
          <w:szCs w:val="22"/>
        </w:rPr>
        <w:t>Platform-level rate caps: Max 5 applications per user per company per 30 days. Prevents a single user from applying to every role at one employer.</w:t>
      </w:r>
    </w:p>
    <w:p w14:paraId="074061FB">
      <w:pPr>
        <w:pStyle w:val="16"/>
        <w:numPr>
          <w:ilvl w:val="0"/>
          <w:numId w:val="1"/>
        </w:numPr>
        <w:spacing w:before="40" w:after="40"/>
      </w:pPr>
      <w:r>
        <w:rPr>
          <w:rFonts w:ascii="Arial" w:hAnsi="Arial" w:eastAsia="Arial" w:cs="Arial"/>
          <w:sz w:val="22"/>
          <w:szCs w:val="22"/>
        </w:rPr>
        <w:t>Recruiter abuse detection: If a company's postings generate &gt;10 Bench Sales applications in 1 hour, that company is temporarily excluded from all queues for 48 hours.</w:t>
      </w:r>
    </w:p>
    <w:p w14:paraId="5ECEA21D">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C4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0392B" w:sz="18" w:space="0"/>
              <w:bottom w:val="single" w:color="CCCCCC" w:sz="0" w:space="0"/>
              <w:right w:val="single" w:color="CCCCCC" w:sz="0" w:space="0"/>
            </w:tcBorders>
            <w:shd w:val="clear" w:color="auto" w:fill="FDECEA"/>
            <w:tcMar>
              <w:top w:w="120" w:type="dxa"/>
              <w:left w:w="200" w:type="dxa"/>
              <w:bottom w:w="120" w:type="dxa"/>
              <w:right w:w="120" w:type="dxa"/>
            </w:tcMar>
          </w:tcPr>
          <w:p w14:paraId="3A9F0FC7">
            <w:pPr>
              <w:spacing w:before="40" w:after="40"/>
            </w:pPr>
            <w:r>
              <w:rPr>
                <w:rFonts w:ascii="Arial" w:hAnsi="Arial" w:eastAsia="Arial" w:cs="Arial"/>
                <w:color w:val="1B3A5C"/>
                <w:sz w:val="20"/>
                <w:szCs w:val="20"/>
              </w:rPr>
              <w:t>This is the most reputationally damaging ethical failure mode. A viral recruiter post about being spammed by Bench Sales</w:t>
            </w:r>
          </w:p>
          <w:p w14:paraId="1CD10B8F">
            <w:pPr>
              <w:spacing w:before="40" w:after="40"/>
            </w:pPr>
            <w:r>
              <w:rPr>
                <w:rFonts w:ascii="Arial" w:hAnsi="Arial" w:eastAsia="Arial" w:cs="Arial"/>
                <w:color w:val="1B3A5C"/>
                <w:sz w:val="20"/>
                <w:szCs w:val="20"/>
              </w:rPr>
              <w:t>could cause immediate brand destruction — far more than a technical outage.</w:t>
            </w:r>
          </w:p>
          <w:p w14:paraId="1423FC05">
            <w:pPr>
              <w:spacing w:before="40" w:after="40"/>
            </w:pPr>
            <w:r>
              <w:rPr>
                <w:rFonts w:ascii="Arial" w:hAnsi="Arial" w:eastAsia="Arial" w:cs="Arial"/>
                <w:color w:val="1B3A5C"/>
                <w:sz w:val="20"/>
                <w:szCs w:val="20"/>
              </w:rPr>
              <w:t>Recruiter spam prevention must be treated as a P0 product invariant, not a nice-to-have feature.</w:t>
            </w:r>
          </w:p>
        </w:tc>
      </w:tr>
    </w:tbl>
    <w:p w14:paraId="5E196DCB">
      <w:pPr>
        <w:spacing w:before="0" w:after="200"/>
      </w:pPr>
    </w:p>
    <w:p w14:paraId="2FE60457">
      <w:pPr>
        <w:pStyle w:val="3"/>
        <w:spacing w:before="300" w:after="120"/>
      </w:pPr>
      <w:r>
        <w:rPr>
          <w:rFonts w:ascii="Arial" w:hAnsi="Arial" w:eastAsia="Arial" w:cs="Arial"/>
          <w:b/>
          <w:bCs/>
          <w:color w:val="1B3A5C"/>
          <w:sz w:val="26"/>
          <w:szCs w:val="26"/>
        </w:rPr>
        <w:t>5.5 ET-05 — Discriminatory AI Scoring Bias (Medium)</w:t>
      </w:r>
    </w:p>
    <w:p w14:paraId="6C347FA2">
      <w:pPr>
        <w:spacing w:before="60" w:after="80"/>
      </w:pPr>
      <w:r>
        <w:rPr>
          <w:rFonts w:ascii="Arial" w:hAnsi="Arial" w:eastAsia="Arial" w:cs="Arial"/>
          <w:sz w:val="22"/>
          <w:szCs w:val="22"/>
        </w:rPr>
        <w:t>GPT-4o-mini's match scoring model may encode biases from training data — favouring candidates from certain educational institutions, companies, or geographic regions. If the scoring model systematically scores certain demographic profiles lower, it amplifies existing hiring discrimination.</w:t>
      </w:r>
    </w:p>
    <w:p w14:paraId="442FCF64">
      <w:pPr>
        <w:spacing w:before="0" w:after="120"/>
      </w:pPr>
    </w:p>
    <w:p w14:paraId="4DDB70A9">
      <w:pPr>
        <w:pStyle w:val="4"/>
        <w:spacing w:before="200" w:after="100"/>
      </w:pPr>
      <w:r>
        <w:rPr>
          <w:rFonts w:ascii="Arial" w:hAnsi="Arial" w:eastAsia="Arial" w:cs="Arial"/>
          <w:b/>
          <w:bCs/>
          <w:color w:val="2E75B6"/>
          <w:sz w:val="22"/>
          <w:szCs w:val="22"/>
        </w:rPr>
        <w:t>Mitigation Strategy — ET-05</w:t>
      </w:r>
    </w:p>
    <w:p w14:paraId="4B080435">
      <w:pPr>
        <w:pStyle w:val="16"/>
        <w:numPr>
          <w:ilvl w:val="0"/>
          <w:numId w:val="1"/>
        </w:numPr>
        <w:spacing w:before="40" w:after="40"/>
      </w:pPr>
      <w:r>
        <w:rPr>
          <w:rFonts w:ascii="Arial" w:hAnsi="Arial" w:eastAsia="Arial" w:cs="Arial"/>
          <w:sz w:val="22"/>
          <w:szCs w:val="22"/>
        </w:rPr>
        <w:t>Blind scoring: All match scoring prompts strip name, gender indicators, address, and graduation year from the resume before sending to OpenAI. Only skills, experience, and education type are scored.</w:t>
      </w:r>
    </w:p>
    <w:p w14:paraId="24946E29">
      <w:pPr>
        <w:pStyle w:val="16"/>
        <w:numPr>
          <w:ilvl w:val="0"/>
          <w:numId w:val="1"/>
        </w:numPr>
        <w:spacing w:before="40" w:after="40"/>
      </w:pPr>
      <w:r>
        <w:rPr>
          <w:rFonts w:ascii="Arial" w:hAnsi="Arial" w:eastAsia="Arial" w:cs="Arial"/>
          <w:sz w:val="22"/>
          <w:szCs w:val="22"/>
        </w:rPr>
        <w:t>Score distribution audit: Monthly analysis of score distributions segmented by education tier, years of experience, and country. If any segment shows &gt;15% systematic score gap vs. others at same qualification level, prompt engineering review is triggered.</w:t>
      </w:r>
    </w:p>
    <w:p w14:paraId="6408DB70">
      <w:pPr>
        <w:pStyle w:val="16"/>
        <w:numPr>
          <w:ilvl w:val="0"/>
          <w:numId w:val="1"/>
        </w:numPr>
        <w:spacing w:before="40" w:after="40"/>
      </w:pPr>
      <w:r>
        <w:rPr>
          <w:rFonts w:ascii="Arial" w:hAnsi="Arial" w:eastAsia="Arial" w:cs="Arial"/>
          <w:sz w:val="22"/>
          <w:szCs w:val="22"/>
        </w:rPr>
        <w:t>Human override: Agents can manually override match scores and approve/reject applications for their students. Agent overrides are logged and reviewed for pattern bias.</w:t>
      </w:r>
    </w:p>
    <w:p w14:paraId="3DB5EBE7">
      <w:pPr>
        <w:pStyle w:val="16"/>
        <w:numPr>
          <w:ilvl w:val="0"/>
          <w:numId w:val="1"/>
        </w:numPr>
        <w:spacing w:before="40" w:after="40"/>
      </w:pPr>
      <w:r>
        <w:rPr>
          <w:rFonts w:ascii="Arial" w:hAnsi="Arial" w:eastAsia="Arial" w:cs="Arial"/>
          <w:sz w:val="22"/>
          <w:szCs w:val="22"/>
        </w:rPr>
        <w:t>OpenAI model card review: Before any model version update (GPT-4o → future version), bias evaluation is run on a synthetic dataset of 200 diverse candidate profiles.</w:t>
      </w:r>
    </w:p>
    <w:p w14:paraId="5F365AB3">
      <w:pPr>
        <w:spacing w:before="0" w:after="240"/>
      </w:pPr>
    </w:p>
    <w:p w14:paraId="6FC7894D">
      <w:pPr>
        <w:pStyle w:val="2"/>
        <w:spacing w:before="400" w:after="160"/>
        <w:rPr>
          <w:rFonts w:ascii="Arial" w:hAnsi="Arial" w:eastAsia="Arial" w:cs="Arial"/>
          <w:b/>
          <w:bCs/>
          <w:color w:val="0D1B2A"/>
          <w:sz w:val="32"/>
          <w:szCs w:val="32"/>
        </w:rPr>
      </w:pPr>
    </w:p>
    <w:p w14:paraId="6EF81CEE">
      <w:pPr>
        <w:pStyle w:val="2"/>
        <w:spacing w:before="400" w:after="160"/>
        <w:rPr>
          <w:rFonts w:ascii="Arial" w:hAnsi="Arial" w:eastAsia="Arial" w:cs="Arial"/>
          <w:b/>
          <w:bCs/>
          <w:color w:val="0D1B2A"/>
          <w:sz w:val="32"/>
          <w:szCs w:val="32"/>
        </w:rPr>
      </w:pPr>
    </w:p>
    <w:p w14:paraId="33EE43E8">
      <w:pPr>
        <w:pStyle w:val="2"/>
        <w:spacing w:before="400" w:after="160"/>
        <w:rPr>
          <w:rFonts w:ascii="Arial" w:hAnsi="Arial" w:eastAsia="Arial" w:cs="Arial"/>
          <w:b/>
          <w:bCs/>
          <w:color w:val="0D1B2A"/>
          <w:sz w:val="32"/>
          <w:szCs w:val="32"/>
        </w:rPr>
      </w:pPr>
    </w:p>
    <w:p w14:paraId="746009BA">
      <w:pPr>
        <w:pStyle w:val="2"/>
        <w:spacing w:before="400" w:after="160"/>
      </w:pPr>
      <w:r>
        <w:rPr>
          <w:rFonts w:ascii="Arial" w:hAnsi="Arial" w:eastAsia="Arial" w:cs="Arial"/>
          <w:b/>
          <w:bCs/>
          <w:color w:val="0D1B2A"/>
          <w:sz w:val="32"/>
          <w:szCs w:val="32"/>
        </w:rPr>
        <w:t>6. Legal Risk Matrix</w:t>
      </w:r>
    </w:p>
    <w:p w14:paraId="24B42B6B">
      <w:pPr>
        <w:spacing w:before="0" w:after="120"/>
      </w:pPr>
    </w:p>
    <w:p w14:paraId="30578D62">
      <w:pPr>
        <w:pStyle w:val="3"/>
        <w:spacing w:before="300" w:after="120"/>
      </w:pPr>
      <w:r>
        <w:rPr>
          <w:rFonts w:ascii="Arial" w:hAnsi="Arial" w:eastAsia="Arial" w:cs="Arial"/>
          <w:b/>
          <w:bCs/>
          <w:color w:val="1B3A5C"/>
          <w:sz w:val="26"/>
          <w:szCs w:val="26"/>
        </w:rPr>
        <w:t>6.1 LR-01 — Breach of Job Platform Terms of Service (Critical)</w:t>
      </w:r>
    </w:p>
    <w:p w14:paraId="4CE8BA6A">
      <w:pPr>
        <w:spacing w:before="60" w:after="80"/>
      </w:pPr>
      <w:r>
        <w:rPr>
          <w:rFonts w:ascii="Arial" w:hAnsi="Arial" w:eastAsia="Arial" w:cs="Arial"/>
          <w:sz w:val="22"/>
          <w:szCs w:val="22"/>
        </w:rPr>
        <w:t>This is the highest-probability critical legal risk. Most major job platforms explicitly prohibit automated access, scraping, and bot-driven applications. Violation can result in cease and desist letters, IP litigation, and reputational damage.</w:t>
      </w:r>
    </w:p>
    <w:p w14:paraId="029DDA7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2"/>
        <w:gridCol w:w="1575"/>
        <w:gridCol w:w="1953"/>
        <w:gridCol w:w="1488"/>
        <w:gridCol w:w="3252"/>
      </w:tblGrid>
      <w:tr w14:paraId="47AC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2FA5D70">
            <w:r>
              <w:rPr>
                <w:rFonts w:ascii="Arial" w:hAnsi="Arial" w:eastAsia="Arial" w:cs="Arial"/>
                <w:b/>
                <w:bCs/>
                <w:color w:val="FFFFFF"/>
                <w:sz w:val="20"/>
                <w:szCs w:val="20"/>
              </w:rPr>
              <w:t>Platform</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9C02400">
            <w:r>
              <w:rPr>
                <w:rFonts w:ascii="Arial" w:hAnsi="Arial" w:eastAsia="Arial" w:cs="Arial"/>
                <w:b/>
                <w:bCs/>
                <w:color w:val="FFFFFF"/>
                <w:sz w:val="20"/>
                <w:szCs w:val="20"/>
              </w:rPr>
              <w:t>Relevant ToS Clause</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4C6D8D0">
            <w:r>
              <w:rPr>
                <w:rFonts w:ascii="Arial" w:hAnsi="Arial" w:eastAsia="Arial" w:cs="Arial"/>
                <w:b/>
                <w:bCs/>
                <w:color w:val="FFFFFF"/>
                <w:sz w:val="20"/>
                <w:szCs w:val="20"/>
              </w:rPr>
              <w:t>Prohibition</w:t>
            </w:r>
          </w:p>
        </w:tc>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94E5AE1">
            <w:r>
              <w:rPr>
                <w:rFonts w:ascii="Arial" w:hAnsi="Arial" w:eastAsia="Arial" w:cs="Arial"/>
                <w:b/>
                <w:bCs/>
                <w:color w:val="FFFFFF"/>
                <w:sz w:val="20"/>
                <w:szCs w:val="20"/>
              </w:rPr>
              <w:t>Legal Exposure</w:t>
            </w:r>
          </w:p>
        </w:tc>
        <w:tc>
          <w:tcPr>
            <w:tcW w:w="33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F846D6C">
            <w:r>
              <w:rPr>
                <w:rFonts w:ascii="Arial" w:hAnsi="Arial" w:eastAsia="Arial" w:cs="Arial"/>
                <w:b/>
                <w:bCs/>
                <w:color w:val="FFFFFF"/>
                <w:sz w:val="20"/>
                <w:szCs w:val="20"/>
              </w:rPr>
              <w:t>Our Approach</w:t>
            </w:r>
          </w:p>
        </w:tc>
      </w:tr>
      <w:tr w14:paraId="2862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9DC009">
            <w:r>
              <w:rPr>
                <w:rFonts w:ascii="Arial" w:hAnsi="Arial" w:eastAsia="Arial" w:cs="Arial"/>
                <w:color w:val="0D1B2A"/>
                <w:sz w:val="20"/>
                <w:szCs w:val="20"/>
              </w:rPr>
              <w:t>LinkedIn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C6F89B">
            <w:r>
              <w:rPr>
                <w:rFonts w:ascii="Arial" w:hAnsi="Arial" w:eastAsia="Arial" w:cs="Arial"/>
                <w:color w:val="0D1B2A"/>
                <w:sz w:val="20"/>
                <w:szCs w:val="20"/>
              </w:rPr>
              <w:t>User Agreement §8.2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809309">
            <w:r>
              <w:rPr>
                <w:rFonts w:ascii="Arial" w:hAnsi="Arial" w:eastAsia="Arial" w:cs="Arial"/>
                <w:color w:val="0D1B2A"/>
                <w:sz w:val="20"/>
                <w:szCs w:val="20"/>
              </w:rPr>
              <w:t>Prohibits use of bots, scrapers, or automated tools to access LinkedIn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010C91">
            <w:r>
              <w:rPr>
                <w:rFonts w:ascii="Arial" w:hAnsi="Arial" w:eastAsia="Arial" w:cs="Arial"/>
                <w:color w:val="0D1B2A"/>
                <w:sz w:val="20"/>
                <w:szCs w:val="20"/>
              </w:rPr>
              <w:t>C&amp;D, litigation, account termination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90E58C">
            <w:r>
              <w:rPr>
                <w:rFonts w:ascii="Arial" w:hAnsi="Arial" w:eastAsia="Arial" w:cs="Arial"/>
                <w:color w:val="0D1B2A"/>
                <w:sz w:val="20"/>
                <w:szCs w:val="20"/>
              </w:rPr>
              <w:t>Optional source only. Disabled by default. User must opt-in with explicit ToS acknowledgment.</w:t>
            </w:r>
          </w:p>
        </w:tc>
      </w:tr>
      <w:tr w14:paraId="37E5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0A48C44">
            <w:r>
              <w:rPr>
                <w:rFonts w:ascii="Arial" w:hAnsi="Arial" w:eastAsia="Arial" w:cs="Arial"/>
                <w:color w:val="0D1B2A"/>
                <w:sz w:val="20"/>
                <w:szCs w:val="20"/>
              </w:rPr>
              <w:t>Indeed</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0EC6D38">
            <w:r>
              <w:rPr>
                <w:rFonts w:ascii="Arial" w:hAnsi="Arial" w:eastAsia="Arial" w:cs="Arial"/>
                <w:color w:val="0D1B2A"/>
                <w:sz w:val="20"/>
                <w:szCs w:val="20"/>
              </w:rPr>
              <w:t>Terms of Service §4</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15E4F7B">
            <w:r>
              <w:rPr>
                <w:rFonts w:ascii="Arial" w:hAnsi="Arial" w:eastAsia="Arial" w:cs="Arial"/>
                <w:color w:val="0D1B2A"/>
                <w:sz w:val="20"/>
                <w:szCs w:val="20"/>
              </w:rPr>
              <w:t>Prohibits automated job applications and harvesting of job postings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C30F913">
            <w:r>
              <w:rPr>
                <w:rFonts w:ascii="Arial" w:hAnsi="Arial" w:eastAsia="Arial" w:cs="Arial"/>
                <w:color w:val="0D1B2A"/>
                <w:sz w:val="20"/>
                <w:szCs w:val="20"/>
              </w:rPr>
              <w:t>C&amp;D, IP ban, potential litigation</w:t>
            </w:r>
          </w:p>
        </w:tc>
        <w:tc>
          <w:tcPr>
            <w:tcW w:w="3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5AD98AD">
            <w:r>
              <w:rPr>
                <w:rFonts w:ascii="Arial" w:hAnsi="Arial" w:eastAsia="Arial" w:cs="Arial"/>
                <w:color w:val="0D1B2A"/>
                <w:sz w:val="20"/>
                <w:szCs w:val="20"/>
              </w:rPr>
              <w:t>Use Indeed Publisher API (official) for job listings only. No automated Indeed applications.</w:t>
            </w:r>
          </w:p>
        </w:tc>
      </w:tr>
      <w:tr w14:paraId="5F6B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72C187">
            <w:r>
              <w:rPr>
                <w:rFonts w:ascii="Arial" w:hAnsi="Arial" w:eastAsia="Arial" w:cs="Arial"/>
                <w:color w:val="0D1B2A"/>
                <w:sz w:val="20"/>
                <w:szCs w:val="20"/>
              </w:rPr>
              <w:t>Naukri</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4FF3E5">
            <w:r>
              <w:rPr>
                <w:rFonts w:ascii="Arial" w:hAnsi="Arial" w:eastAsia="Arial" w:cs="Arial"/>
                <w:color w:val="0D1B2A"/>
                <w:sz w:val="20"/>
                <w:szCs w:val="20"/>
              </w:rPr>
              <w:t>Terms of Use §3.2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03C872">
            <w:r>
              <w:rPr>
                <w:rFonts w:ascii="Arial" w:hAnsi="Arial" w:eastAsia="Arial" w:cs="Arial"/>
                <w:color w:val="0D1B2A"/>
                <w:sz w:val="20"/>
                <w:szCs w:val="20"/>
              </w:rPr>
              <w:t>Prohibits automated access and data extraction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DE0375">
            <w:r>
              <w:rPr>
                <w:rFonts w:ascii="Arial" w:hAnsi="Arial" w:eastAsia="Arial" w:cs="Arial"/>
                <w:color w:val="0D1B2A"/>
                <w:sz w:val="20"/>
                <w:szCs w:val="20"/>
              </w:rPr>
              <w:t>Account termination, C&amp;D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BAB500">
            <w:r>
              <w:rPr>
                <w:rFonts w:ascii="Arial" w:hAnsi="Arial" w:eastAsia="Arial" w:cs="Arial"/>
                <w:color w:val="0D1B2A"/>
                <w:sz w:val="20"/>
                <w:szCs w:val="20"/>
              </w:rPr>
              <w:t>Scraping used. High legal risk. Evaluate partnership / official API access before Tier-1 launch.</w:t>
            </w:r>
          </w:p>
        </w:tc>
      </w:tr>
      <w:tr w14:paraId="55EB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0BA077">
            <w:r>
              <w:rPr>
                <w:rFonts w:ascii="Arial" w:hAnsi="Arial" w:eastAsia="Arial" w:cs="Arial"/>
                <w:color w:val="0D1B2A"/>
                <w:sz w:val="20"/>
                <w:szCs w:val="20"/>
              </w:rPr>
              <w:t>Dice</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940B71">
            <w:r>
              <w:rPr>
                <w:rFonts w:ascii="Arial" w:hAnsi="Arial" w:eastAsia="Arial" w:cs="Arial"/>
                <w:color w:val="0D1B2A"/>
                <w:sz w:val="20"/>
                <w:szCs w:val="20"/>
              </w:rPr>
              <w:t>Terms of Service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55D47FB">
            <w:r>
              <w:rPr>
                <w:rFonts w:ascii="Arial" w:hAnsi="Arial" w:eastAsia="Arial" w:cs="Arial"/>
                <w:color w:val="0D1B2A"/>
                <w:sz w:val="20"/>
                <w:szCs w:val="20"/>
              </w:rPr>
              <w:t>RSS feed is permitted for job listings. Application submission ToS unclear</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2B52820">
            <w:r>
              <w:rPr>
                <w:rFonts w:ascii="Arial" w:hAnsi="Arial" w:eastAsia="Arial" w:cs="Arial"/>
                <w:color w:val="0D1B2A"/>
                <w:sz w:val="20"/>
                <w:szCs w:val="20"/>
              </w:rPr>
              <w:t>Low for feed ingestion</w:t>
            </w:r>
          </w:p>
        </w:tc>
        <w:tc>
          <w:tcPr>
            <w:tcW w:w="3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C8300E6">
            <w:r>
              <w:rPr>
                <w:rFonts w:ascii="Arial" w:hAnsi="Arial" w:eastAsia="Arial" w:cs="Arial"/>
                <w:color w:val="0D1B2A"/>
                <w:sz w:val="20"/>
                <w:szCs w:val="20"/>
              </w:rPr>
              <w:t>Use only RSS feed. No Dice apply automation without explicit permission.</w:t>
            </w:r>
          </w:p>
        </w:tc>
      </w:tr>
      <w:tr w14:paraId="2376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CC10A8">
            <w:r>
              <w:rPr>
                <w:rFonts w:ascii="Arial" w:hAnsi="Arial" w:eastAsia="Arial" w:cs="Arial"/>
                <w:color w:val="0D1B2A"/>
                <w:sz w:val="20"/>
                <w:szCs w:val="20"/>
              </w:rPr>
              <w:t>Adzuna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00B98A">
            <w:r>
              <w:rPr>
                <w:rFonts w:ascii="Arial" w:hAnsi="Arial" w:eastAsia="Arial" w:cs="Arial"/>
                <w:color w:val="0D1B2A"/>
                <w:sz w:val="20"/>
                <w:szCs w:val="20"/>
              </w:rPr>
              <w:t>API Terms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D59558">
            <w:r>
              <w:rPr>
                <w:rFonts w:ascii="Arial" w:hAnsi="Arial" w:eastAsia="Arial" w:cs="Arial"/>
                <w:color w:val="0D1B2A"/>
                <w:sz w:val="20"/>
                <w:szCs w:val="20"/>
              </w:rPr>
              <w:t>API access permitted with registration. Application redirect only — no direct submission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0E66F6">
            <w:r>
              <w:rPr>
                <w:rFonts w:ascii="Arial" w:hAnsi="Arial" w:eastAsia="Arial" w:cs="Arial"/>
                <w:color w:val="0D1B2A"/>
                <w:sz w:val="20"/>
                <w:szCs w:val="20"/>
              </w:rPr>
              <w:t>None if API used correctly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970691">
            <w:r>
              <w:rPr>
                <w:rFonts w:ascii="Arial" w:hAnsi="Arial" w:eastAsia="Arial" w:cs="Arial"/>
                <w:color w:val="0D1B2A"/>
                <w:sz w:val="20"/>
                <w:szCs w:val="20"/>
              </w:rPr>
              <w:t>Compliant. Adzuna provides job data; application happens on employer ATS, not Adzuna.</w:t>
            </w:r>
          </w:p>
        </w:tc>
      </w:tr>
    </w:tbl>
    <w:p w14:paraId="47EE7D0E">
      <w:pPr>
        <w:spacing w:before="0" w:after="160"/>
      </w:pPr>
    </w:p>
    <w:p w14:paraId="5FDCB672">
      <w:pPr>
        <w:pStyle w:val="4"/>
        <w:spacing w:before="200" w:after="100"/>
      </w:pPr>
      <w:r>
        <w:rPr>
          <w:rFonts w:ascii="Arial" w:hAnsi="Arial" w:eastAsia="Arial" w:cs="Arial"/>
          <w:b/>
          <w:bCs/>
          <w:color w:val="2E75B6"/>
          <w:sz w:val="22"/>
          <w:szCs w:val="22"/>
        </w:rPr>
        <w:t>Legal Risk Response — LR-01</w:t>
      </w:r>
    </w:p>
    <w:p w14:paraId="78011097">
      <w:pPr>
        <w:pStyle w:val="16"/>
        <w:numPr>
          <w:ilvl w:val="0"/>
          <w:numId w:val="1"/>
        </w:numPr>
        <w:spacing w:before="40" w:after="40"/>
      </w:pPr>
      <w:r>
        <w:rPr>
          <w:rFonts w:ascii="Arial" w:hAnsi="Arial" w:eastAsia="Arial" w:cs="Arial"/>
          <w:sz w:val="22"/>
          <w:szCs w:val="22"/>
        </w:rPr>
        <w:t>Immediate action: Obtain legal opinion from technology law firm on ToS enforceability in India and US before Tier-1 launch.</w:t>
      </w:r>
    </w:p>
    <w:p w14:paraId="29DFF2B7">
      <w:pPr>
        <w:pStyle w:val="16"/>
        <w:numPr>
          <w:ilvl w:val="0"/>
          <w:numId w:val="1"/>
        </w:numPr>
        <w:spacing w:before="40" w:after="40"/>
      </w:pPr>
      <w:r>
        <w:rPr>
          <w:rFonts w:ascii="Arial" w:hAnsi="Arial" w:eastAsia="Arial" w:cs="Arial"/>
          <w:sz w:val="22"/>
          <w:szCs w:val="22"/>
        </w:rPr>
        <w:t>Platform partnership path: Approach Indeed, Naukri, and LinkedIn with a formal partnership proposal for API-level integration. Official API access eliminates ToS risk entirely.</w:t>
      </w:r>
    </w:p>
    <w:p w14:paraId="3C9127C9">
      <w:pPr>
        <w:pStyle w:val="16"/>
        <w:numPr>
          <w:ilvl w:val="0"/>
          <w:numId w:val="1"/>
        </w:numPr>
        <w:spacing w:before="40" w:after="40"/>
      </w:pPr>
      <w:r>
        <w:rPr>
          <w:rFonts w:ascii="Arial" w:hAnsi="Arial" w:eastAsia="Arial" w:cs="Arial"/>
          <w:sz w:val="22"/>
          <w:szCs w:val="22"/>
        </w:rPr>
        <w:t>User liability shift: Terms of Service clearly state that users are responsible for compliance with the platforms they use. Bench Sales is a tool, not a principal.</w:t>
      </w:r>
    </w:p>
    <w:p w14:paraId="231324D8">
      <w:pPr>
        <w:pStyle w:val="16"/>
        <w:numPr>
          <w:ilvl w:val="0"/>
          <w:numId w:val="1"/>
        </w:numPr>
        <w:spacing w:before="40" w:after="40"/>
      </w:pPr>
      <w:r>
        <w:rPr>
          <w:rFonts w:ascii="Arial" w:hAnsi="Arial" w:eastAsia="Arial" w:cs="Arial"/>
          <w:sz w:val="22"/>
          <w:szCs w:val="22"/>
        </w:rPr>
        <w:t>Insurance: Technology E&amp;O (Errors &amp; Omissions) insurance and cyber liability insurance obtained before commercial launch.</w:t>
      </w:r>
    </w:p>
    <w:p w14:paraId="1953A31C">
      <w:pPr>
        <w:spacing w:before="0" w:after="200"/>
      </w:pPr>
    </w:p>
    <w:p w14:paraId="549B2F22">
      <w:pPr>
        <w:pStyle w:val="3"/>
        <w:spacing w:before="300" w:after="120"/>
      </w:pPr>
      <w:r>
        <w:rPr>
          <w:rFonts w:ascii="Arial" w:hAnsi="Arial" w:eastAsia="Arial" w:cs="Arial"/>
          <w:b/>
          <w:bCs/>
          <w:color w:val="1B3A5C"/>
          <w:sz w:val="26"/>
          <w:szCs w:val="26"/>
        </w:rPr>
        <w:t>6.2 LR-02 — GDPR / DPDP Act India Violation (High)</w:t>
      </w:r>
    </w:p>
    <w:p w14:paraId="1288A021">
      <w:pPr>
        <w:spacing w:before="60" w:after="80"/>
      </w:pPr>
      <w:r>
        <w:rPr>
          <w:rFonts w:ascii="Arial" w:hAnsi="Arial" w:eastAsia="Arial" w:cs="Arial"/>
          <w:sz w:val="22"/>
          <w:szCs w:val="22"/>
        </w:rPr>
        <w:t>Bench Sales processes sensitive personal data (resume, work history, contact details) of users who may be Indian nationals (DPDP Act 2023) or EU residents (GDPR). Non-compliance can result in fines up to 4% of global annual turnover (GDPR) or INR 250 crore (DPDP Act).</w:t>
      </w:r>
    </w:p>
    <w:p w14:paraId="0D1E11B8">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800"/>
        <w:gridCol w:w="3960"/>
      </w:tblGrid>
      <w:tr w14:paraId="14AE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E69E3F7">
            <w:r>
              <w:rPr>
                <w:rFonts w:ascii="Arial" w:hAnsi="Arial" w:eastAsia="Arial" w:cs="Arial"/>
                <w:b/>
                <w:bCs/>
                <w:color w:val="FFFFFF"/>
                <w:sz w:val="20"/>
                <w:szCs w:val="20"/>
              </w:rPr>
              <w:t>Requirement</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195F818">
            <w:r>
              <w:rPr>
                <w:rFonts w:ascii="Arial" w:hAnsi="Arial" w:eastAsia="Arial" w:cs="Arial"/>
                <w:b/>
                <w:bCs/>
                <w:color w:val="FFFFFF"/>
                <w:sz w:val="20"/>
                <w:szCs w:val="20"/>
              </w:rPr>
              <w:t>GDPR Article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5F0AEA1">
            <w:r>
              <w:rPr>
                <w:rFonts w:ascii="Arial" w:hAnsi="Arial" w:eastAsia="Arial" w:cs="Arial"/>
                <w:b/>
                <w:bCs/>
                <w:color w:val="FFFFFF"/>
                <w:sz w:val="20"/>
                <w:szCs w:val="20"/>
              </w:rPr>
              <w:t>DPDP Act Section</w:t>
            </w:r>
          </w:p>
        </w:tc>
        <w:tc>
          <w:tcPr>
            <w:tcW w:w="39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38CB899">
            <w:r>
              <w:rPr>
                <w:rFonts w:ascii="Arial" w:hAnsi="Arial" w:eastAsia="Arial" w:cs="Arial"/>
                <w:b/>
                <w:bCs/>
                <w:color w:val="FFFFFF"/>
                <w:sz w:val="20"/>
                <w:szCs w:val="20"/>
              </w:rPr>
              <w:t>Bench Sales Implementation</w:t>
            </w:r>
          </w:p>
        </w:tc>
      </w:tr>
      <w:tr w14:paraId="4F7B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CDC83F">
            <w:r>
              <w:rPr>
                <w:rFonts w:ascii="Arial" w:hAnsi="Arial" w:eastAsia="Arial" w:cs="Arial"/>
                <w:color w:val="0D1B2A"/>
                <w:sz w:val="20"/>
                <w:szCs w:val="20"/>
              </w:rPr>
              <w:t>Lawful basis for processing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4C1A90">
            <w:r>
              <w:rPr>
                <w:rFonts w:ascii="Arial" w:hAnsi="Arial" w:eastAsia="Arial" w:cs="Arial"/>
                <w:color w:val="0D1B2A"/>
                <w:sz w:val="20"/>
                <w:szCs w:val="20"/>
              </w:rPr>
              <w:t>Art. 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19E961">
            <w:r>
              <w:rPr>
                <w:rFonts w:ascii="Arial" w:hAnsi="Arial" w:eastAsia="Arial" w:cs="Arial"/>
                <w:color w:val="0D1B2A"/>
                <w:sz w:val="20"/>
                <w:szCs w:val="20"/>
              </w:rPr>
              <w:t>Sec. 4</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881649">
            <w:r>
              <w:rPr>
                <w:rFonts w:ascii="Arial" w:hAnsi="Arial" w:eastAsia="Arial" w:cs="Arial"/>
                <w:color w:val="0D1B2A"/>
                <w:sz w:val="20"/>
                <w:szCs w:val="20"/>
              </w:rPr>
              <w:t>Consent obtained at signup. Legitimate interest for service delivery.</w:t>
            </w:r>
          </w:p>
        </w:tc>
      </w:tr>
      <w:tr w14:paraId="0787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22A9B65">
            <w:r>
              <w:rPr>
                <w:rFonts w:ascii="Arial" w:hAnsi="Arial" w:eastAsia="Arial" w:cs="Arial"/>
                <w:color w:val="0D1B2A"/>
                <w:sz w:val="20"/>
                <w:szCs w:val="20"/>
              </w:rPr>
              <w:t>Right to access</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7E82C2">
            <w:r>
              <w:rPr>
                <w:rFonts w:ascii="Arial" w:hAnsi="Arial" w:eastAsia="Arial" w:cs="Arial"/>
                <w:color w:val="0D1B2A"/>
                <w:sz w:val="20"/>
                <w:szCs w:val="20"/>
              </w:rPr>
              <w:t>Art. 15</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5A93307">
            <w:r>
              <w:rPr>
                <w:rFonts w:ascii="Arial" w:hAnsi="Arial" w:eastAsia="Arial" w:cs="Arial"/>
                <w:color w:val="0D1B2A"/>
                <w:sz w:val="20"/>
                <w:szCs w:val="20"/>
              </w:rPr>
              <w:t>Sec. 11</w:t>
            </w:r>
          </w:p>
        </w:tc>
        <w:tc>
          <w:tcPr>
            <w:tcW w:w="3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EB90F58">
            <w:r>
              <w:rPr>
                <w:rFonts w:ascii="Arial" w:hAnsi="Arial" w:eastAsia="Arial" w:cs="Arial"/>
                <w:color w:val="0D1B2A"/>
                <w:sz w:val="20"/>
                <w:szCs w:val="20"/>
              </w:rPr>
              <w:t>Settings &gt; Privacy &gt; Download My Data (JSON export, 30-day SLA).</w:t>
            </w:r>
          </w:p>
        </w:tc>
      </w:tr>
      <w:tr w14:paraId="50B5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DE2571">
            <w:r>
              <w:rPr>
                <w:rFonts w:ascii="Arial" w:hAnsi="Arial" w:eastAsia="Arial" w:cs="Arial"/>
                <w:color w:val="0D1B2A"/>
                <w:sz w:val="20"/>
                <w:szCs w:val="20"/>
              </w:rPr>
              <w:t>Right to erasure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87BD71">
            <w:r>
              <w:rPr>
                <w:rFonts w:ascii="Arial" w:hAnsi="Arial" w:eastAsia="Arial" w:cs="Arial"/>
                <w:color w:val="0D1B2A"/>
                <w:sz w:val="20"/>
                <w:szCs w:val="20"/>
              </w:rPr>
              <w:t>Art. 17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40AC0E">
            <w:r>
              <w:rPr>
                <w:rFonts w:ascii="Arial" w:hAnsi="Arial" w:eastAsia="Arial" w:cs="Arial"/>
                <w:color w:val="0D1B2A"/>
                <w:sz w:val="20"/>
                <w:szCs w:val="20"/>
              </w:rPr>
              <w:t>Sec. 13</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98E054">
            <w:r>
              <w:rPr>
                <w:rFonts w:ascii="Arial" w:hAnsi="Arial" w:eastAsia="Arial" w:cs="Arial"/>
                <w:color w:val="0D1B2A"/>
                <w:sz w:val="20"/>
                <w:szCs w:val="20"/>
              </w:rPr>
              <w:t>Settings &gt; Delete Account. Full deletion within 30 days. Backups purged within 90 days.</w:t>
            </w:r>
          </w:p>
        </w:tc>
      </w:tr>
      <w:tr w14:paraId="7136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81FE8EE">
            <w:r>
              <w:rPr>
                <w:rFonts w:ascii="Arial" w:hAnsi="Arial" w:eastAsia="Arial" w:cs="Arial"/>
                <w:color w:val="0D1B2A"/>
                <w:sz w:val="20"/>
                <w:szCs w:val="20"/>
              </w:rPr>
              <w:t>Data minimisation</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C9FC0EE">
            <w:r>
              <w:rPr>
                <w:rFonts w:ascii="Arial" w:hAnsi="Arial" w:eastAsia="Arial" w:cs="Arial"/>
                <w:color w:val="0D1B2A"/>
                <w:sz w:val="20"/>
                <w:szCs w:val="20"/>
              </w:rPr>
              <w:t>Art. 5(1)(c)</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17DAAC">
            <w:r>
              <w:rPr>
                <w:rFonts w:ascii="Arial" w:hAnsi="Arial" w:eastAsia="Arial" w:cs="Arial"/>
                <w:color w:val="0D1B2A"/>
                <w:sz w:val="20"/>
                <w:szCs w:val="20"/>
              </w:rPr>
              <w:t>Sec. 6</w:t>
            </w:r>
          </w:p>
        </w:tc>
        <w:tc>
          <w:tcPr>
            <w:tcW w:w="3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DE4CDDC">
            <w:r>
              <w:rPr>
                <w:rFonts w:ascii="Arial" w:hAnsi="Arial" w:eastAsia="Arial" w:cs="Arial"/>
                <w:color w:val="0D1B2A"/>
                <w:sz w:val="20"/>
                <w:szCs w:val="20"/>
              </w:rPr>
              <w:t>Only collect fields required for automation. No demographic data unless user-provided.</w:t>
            </w:r>
          </w:p>
        </w:tc>
      </w:tr>
      <w:tr w14:paraId="2BF3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A3BF7F">
            <w:r>
              <w:rPr>
                <w:rFonts w:ascii="Arial" w:hAnsi="Arial" w:eastAsia="Arial" w:cs="Arial"/>
                <w:color w:val="0D1B2A"/>
                <w:sz w:val="20"/>
                <w:szCs w:val="20"/>
              </w:rPr>
              <w:t>Cross-border transfer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E8F855">
            <w:r>
              <w:rPr>
                <w:rFonts w:ascii="Arial" w:hAnsi="Arial" w:eastAsia="Arial" w:cs="Arial"/>
                <w:color w:val="0D1B2A"/>
                <w:sz w:val="20"/>
                <w:szCs w:val="20"/>
              </w:rPr>
              <w:t>Art. 46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0F7AF9">
            <w:r>
              <w:rPr>
                <w:rFonts w:ascii="Arial" w:hAnsi="Arial" w:eastAsia="Arial" w:cs="Arial"/>
                <w:color w:val="0D1B2A"/>
                <w:sz w:val="20"/>
                <w:szCs w:val="20"/>
              </w:rPr>
              <w:t>Sec. 16</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3FC2D7">
            <w:r>
              <w:rPr>
                <w:rFonts w:ascii="Arial" w:hAnsi="Arial" w:eastAsia="Arial" w:cs="Arial"/>
                <w:color w:val="0D1B2A"/>
                <w:sz w:val="20"/>
                <w:szCs w:val="20"/>
              </w:rPr>
              <w:t>Data processed on GCP us-central1 and asia-south1. SCCs in place for EU users.</w:t>
            </w:r>
          </w:p>
        </w:tc>
      </w:tr>
      <w:tr w14:paraId="51B4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513B612">
            <w:r>
              <w:rPr>
                <w:rFonts w:ascii="Arial" w:hAnsi="Arial" w:eastAsia="Arial" w:cs="Arial"/>
                <w:color w:val="0D1B2A"/>
                <w:sz w:val="20"/>
                <w:szCs w:val="20"/>
              </w:rPr>
              <w:t>Data breach notification</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74F0772">
            <w:r>
              <w:rPr>
                <w:rFonts w:ascii="Arial" w:hAnsi="Arial" w:eastAsia="Arial" w:cs="Arial"/>
                <w:color w:val="0D1B2A"/>
                <w:sz w:val="20"/>
                <w:szCs w:val="20"/>
              </w:rPr>
              <w:t>Art. 33</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C755437">
            <w:r>
              <w:rPr>
                <w:rFonts w:ascii="Arial" w:hAnsi="Arial" w:eastAsia="Arial" w:cs="Arial"/>
                <w:color w:val="0D1B2A"/>
                <w:sz w:val="20"/>
                <w:szCs w:val="20"/>
              </w:rPr>
              <w:t>Sec. 8(6)</w:t>
            </w:r>
          </w:p>
        </w:tc>
        <w:tc>
          <w:tcPr>
            <w:tcW w:w="3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4013B6">
            <w:r>
              <w:rPr>
                <w:rFonts w:ascii="Arial" w:hAnsi="Arial" w:eastAsia="Arial" w:cs="Arial"/>
                <w:color w:val="0D1B2A"/>
                <w:sz w:val="20"/>
                <w:szCs w:val="20"/>
              </w:rPr>
              <w:t>72-hour notification to supervisory authority. User notification within 7 days.</w:t>
            </w:r>
          </w:p>
        </w:tc>
      </w:tr>
      <w:tr w14:paraId="00625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76D8AC">
            <w:r>
              <w:rPr>
                <w:rFonts w:ascii="Arial" w:hAnsi="Arial" w:eastAsia="Arial" w:cs="Arial"/>
                <w:color w:val="0D1B2A"/>
                <w:sz w:val="20"/>
                <w:szCs w:val="20"/>
              </w:rPr>
              <w:t>Data Protection Officer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E10165">
            <w:r>
              <w:rPr>
                <w:rFonts w:ascii="Arial" w:hAnsi="Arial" w:eastAsia="Arial" w:cs="Arial"/>
                <w:color w:val="0D1B2A"/>
                <w:sz w:val="20"/>
                <w:szCs w:val="20"/>
              </w:rPr>
              <w:t>Art. 37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91DE4D">
            <w:r>
              <w:rPr>
                <w:rFonts w:ascii="Arial" w:hAnsi="Arial" w:eastAsia="Arial" w:cs="Arial"/>
                <w:color w:val="0D1B2A"/>
                <w:sz w:val="20"/>
                <w:szCs w:val="20"/>
              </w:rPr>
              <w:t>Sec. 10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F35928">
            <w:r>
              <w:rPr>
                <w:rFonts w:ascii="Arial" w:hAnsi="Arial" w:eastAsia="Arial" w:cs="Arial"/>
                <w:color w:val="0D1B2A"/>
                <w:sz w:val="20"/>
                <w:szCs w:val="20"/>
              </w:rPr>
              <w:t>DPO appointed before EU market entry. DPDP compliance officer for India operations.</w:t>
            </w:r>
          </w:p>
        </w:tc>
      </w:tr>
    </w:tbl>
    <w:p w14:paraId="1BBD766A">
      <w:pPr>
        <w:spacing w:before="0" w:after="200"/>
      </w:pPr>
    </w:p>
    <w:p w14:paraId="57F61A3F">
      <w:pPr>
        <w:pStyle w:val="3"/>
        <w:spacing w:before="300" w:after="120"/>
      </w:pPr>
      <w:r>
        <w:rPr>
          <w:rFonts w:ascii="Arial" w:hAnsi="Arial" w:eastAsia="Arial" w:cs="Arial"/>
          <w:b/>
          <w:bCs/>
          <w:color w:val="1B3A5C"/>
          <w:sz w:val="26"/>
          <w:szCs w:val="26"/>
        </w:rPr>
        <w:t>6.3 LR-03 — Liability for Incorrect Application Submission (High)</w:t>
      </w:r>
    </w:p>
    <w:p w14:paraId="1A029C84">
      <w:pPr>
        <w:spacing w:before="60" w:after="80"/>
      </w:pPr>
      <w:r>
        <w:rPr>
          <w:rFonts w:ascii="Arial" w:hAnsi="Arial" w:eastAsia="Arial" w:cs="Arial"/>
          <w:sz w:val="22"/>
          <w:szCs w:val="22"/>
        </w:rPr>
        <w:t>If Bench Sales submits an application with incorrect information (wrong salary expectation, false work authorisation claim, wrong job title), the user may suffer real harm: offer rescission, background check failure, or reputational damage with an employer.</w:t>
      </w:r>
    </w:p>
    <w:p w14:paraId="4F707CFB">
      <w:pPr>
        <w:spacing w:before="0" w:after="120"/>
      </w:pPr>
    </w:p>
    <w:p w14:paraId="5F251071">
      <w:pPr>
        <w:pStyle w:val="4"/>
        <w:spacing w:before="200" w:after="100"/>
      </w:pPr>
      <w:r>
        <w:rPr>
          <w:rFonts w:ascii="Arial" w:hAnsi="Arial" w:eastAsia="Arial" w:cs="Arial"/>
          <w:b/>
          <w:bCs/>
          <w:color w:val="2E75B6"/>
          <w:sz w:val="22"/>
          <w:szCs w:val="22"/>
        </w:rPr>
        <w:t>Mitigation Strategy — LR-03</w:t>
      </w:r>
    </w:p>
    <w:p w14:paraId="11003D33">
      <w:pPr>
        <w:pStyle w:val="16"/>
        <w:numPr>
          <w:ilvl w:val="0"/>
          <w:numId w:val="1"/>
        </w:numPr>
        <w:spacing w:before="40" w:after="40"/>
      </w:pPr>
      <w:r>
        <w:rPr>
          <w:rFonts w:ascii="Arial" w:hAnsi="Arial" w:eastAsia="Arial" w:cs="Arial"/>
          <w:sz w:val="22"/>
          <w:szCs w:val="22"/>
        </w:rPr>
        <w:t>ToS liability clause: Bench Sales Terms of Service §6 explicitly state that users are responsible for the accuracy of their profile information. Bench Sales is not liable for AI-generated content errors where profile data was accurate.</w:t>
      </w:r>
    </w:p>
    <w:p w14:paraId="50B0D25F">
      <w:pPr>
        <w:pStyle w:val="16"/>
        <w:numPr>
          <w:ilvl w:val="0"/>
          <w:numId w:val="1"/>
        </w:numPr>
        <w:spacing w:before="40" w:after="40"/>
      </w:pPr>
      <w:r>
        <w:rPr>
          <w:rFonts w:ascii="Arial" w:hAnsi="Arial" w:eastAsia="Arial" w:cs="Arial"/>
          <w:sz w:val="22"/>
          <w:szCs w:val="22"/>
        </w:rPr>
        <w:t>Structured field sourcing: Salary, work authorisation, notice period, and visa status are sourced from the user profile only — never AI-generated (see TR-03).</w:t>
      </w:r>
    </w:p>
    <w:p w14:paraId="00ACC781">
      <w:pPr>
        <w:pStyle w:val="16"/>
        <w:numPr>
          <w:ilvl w:val="0"/>
          <w:numId w:val="1"/>
        </w:numPr>
        <w:spacing w:before="40" w:after="40"/>
      </w:pPr>
      <w:r>
        <w:rPr>
          <w:rFonts w:ascii="Arial" w:hAnsi="Arial" w:eastAsia="Arial" w:cs="Arial"/>
          <w:sz w:val="22"/>
          <w:szCs w:val="22"/>
        </w:rPr>
        <w:t>Pre-submission verification hash: A hash of the application payload is stored pre-submission. If a user disputes an application content, the hash proves what was submitted.</w:t>
      </w:r>
    </w:p>
    <w:p w14:paraId="4F145C11">
      <w:pPr>
        <w:pStyle w:val="16"/>
        <w:numPr>
          <w:ilvl w:val="0"/>
          <w:numId w:val="1"/>
        </w:numPr>
        <w:spacing w:before="40" w:after="40"/>
      </w:pPr>
      <w:r>
        <w:rPr>
          <w:rFonts w:ascii="Arial" w:hAnsi="Arial" w:eastAsia="Arial" w:cs="Arial"/>
          <w:sz w:val="22"/>
          <w:szCs w:val="22"/>
        </w:rPr>
        <w:t>Application review feature: Tier-1+ users can enable a 30-minute review window for all applications. Applications in review window are held in "pending" status in Firestore.</w:t>
      </w:r>
    </w:p>
    <w:p w14:paraId="764789C0">
      <w:pPr>
        <w:spacing w:before="0" w:after="200"/>
      </w:pPr>
    </w:p>
    <w:p w14:paraId="6A41392C">
      <w:pPr>
        <w:pStyle w:val="3"/>
        <w:spacing w:before="300" w:after="120"/>
      </w:pPr>
      <w:r>
        <w:rPr>
          <w:rFonts w:ascii="Arial" w:hAnsi="Arial" w:eastAsia="Arial" w:cs="Arial"/>
          <w:b/>
          <w:bCs/>
          <w:color w:val="1B3A5C"/>
          <w:sz w:val="26"/>
          <w:szCs w:val="26"/>
        </w:rPr>
        <w:t>6.4 LR-04 — CFAA / Computer Fraud Liability (US) (High)</w:t>
      </w:r>
    </w:p>
    <w:p w14:paraId="681C989C">
      <w:pPr>
        <w:spacing w:before="60" w:after="80"/>
      </w:pPr>
      <w:r>
        <w:rPr>
          <w:rFonts w:ascii="Arial" w:hAnsi="Arial" w:eastAsia="Arial" w:cs="Arial"/>
          <w:sz w:val="22"/>
          <w:szCs w:val="22"/>
        </w:rPr>
        <w:t>The Computer Fraud and Abuse Act (CFAA) 18 U.S.C. § 1030 prohibits "unauthorised access" to computer systems. Automated access to job platforms that prohibit bots in their ToS may constitute unauthorised access under CFAA. The HiQ v. LinkedIn case (2022) provides some protection for public data scraping but does not cover application automation.</w:t>
      </w:r>
    </w:p>
    <w:p w14:paraId="13C94C33">
      <w:pPr>
        <w:spacing w:before="0" w:after="120"/>
      </w:pPr>
    </w:p>
    <w:p w14:paraId="67DCABA2">
      <w:pPr>
        <w:pStyle w:val="4"/>
        <w:spacing w:before="200" w:after="100"/>
      </w:pPr>
      <w:r>
        <w:rPr>
          <w:rFonts w:ascii="Arial" w:hAnsi="Arial" w:eastAsia="Arial" w:cs="Arial"/>
          <w:b/>
          <w:bCs/>
          <w:color w:val="2E75B6"/>
          <w:sz w:val="22"/>
          <w:szCs w:val="22"/>
        </w:rPr>
        <w:t>Mitigation Strategy — LR-04</w:t>
      </w:r>
    </w:p>
    <w:p w14:paraId="4526C04B">
      <w:pPr>
        <w:pStyle w:val="16"/>
        <w:numPr>
          <w:ilvl w:val="0"/>
          <w:numId w:val="1"/>
        </w:numPr>
        <w:spacing w:before="40" w:after="40"/>
      </w:pPr>
      <w:r>
        <w:rPr>
          <w:rFonts w:ascii="Arial" w:hAnsi="Arial" w:eastAsia="Arial" w:cs="Arial"/>
          <w:sz w:val="22"/>
          <w:szCs w:val="22"/>
        </w:rPr>
        <w:t>Limit US operations initially to platforms with explicit API access (Adzuna, Dice RSS). No automated application submission to platforms that explicitly prohibit it in ToS until legal opinion is obtained.</w:t>
      </w:r>
    </w:p>
    <w:p w14:paraId="782AF09B">
      <w:pPr>
        <w:pStyle w:val="16"/>
        <w:numPr>
          <w:ilvl w:val="0"/>
          <w:numId w:val="1"/>
        </w:numPr>
        <w:spacing w:before="40" w:after="40"/>
      </w:pPr>
      <w:r>
        <w:rPr>
          <w:rFonts w:ascii="Arial" w:hAnsi="Arial" w:eastAsia="Arial" w:cs="Arial"/>
          <w:sz w:val="22"/>
          <w:szCs w:val="22"/>
        </w:rPr>
        <w:t>Retain US technology law counsel before US market launch. CFAA risk assessment specific to application submission (not just scraping) is required.</w:t>
      </w:r>
    </w:p>
    <w:p w14:paraId="7DB976A1">
      <w:pPr>
        <w:pStyle w:val="16"/>
        <w:numPr>
          <w:ilvl w:val="0"/>
          <w:numId w:val="1"/>
        </w:numPr>
        <w:spacing w:before="40" w:after="40"/>
      </w:pPr>
      <w:r>
        <w:rPr>
          <w:rFonts w:ascii="Arial" w:hAnsi="Arial" w:eastAsia="Arial" w:cs="Arial"/>
          <w:sz w:val="22"/>
          <w:szCs w:val="22"/>
        </w:rPr>
        <w:t>If CFAA risk is rated unacceptable: pivot to "assisted application" model — Bench Sales pre-fills forms but requires user to click Submit. Eliminates CFAA exposure entirely at cost of automation value.</w:t>
      </w:r>
    </w:p>
    <w:p w14:paraId="74DF3821">
      <w:pPr>
        <w:spacing w:before="0" w:after="200"/>
      </w:pPr>
    </w:p>
    <w:p w14:paraId="5CA9B282">
      <w:pPr>
        <w:pStyle w:val="3"/>
        <w:spacing w:before="300" w:after="120"/>
      </w:pPr>
      <w:r>
        <w:rPr>
          <w:rFonts w:ascii="Arial" w:hAnsi="Arial" w:eastAsia="Arial" w:cs="Arial"/>
          <w:b/>
          <w:bCs/>
          <w:color w:val="1B3A5C"/>
          <w:sz w:val="26"/>
          <w:szCs w:val="26"/>
        </w:rPr>
        <w:t>6.5 LR-05 — AI-Generated Content Copyright Liability (Medium)</w:t>
      </w:r>
    </w:p>
    <w:p w14:paraId="20B78D44">
      <w:pPr>
        <w:spacing w:before="60" w:after="80"/>
      </w:pPr>
      <w:r>
        <w:rPr>
          <w:rFonts w:ascii="Arial" w:hAnsi="Arial" w:eastAsia="Arial" w:cs="Arial"/>
          <w:sz w:val="22"/>
          <w:szCs w:val="22"/>
        </w:rPr>
        <w:t>Cover letters generated by GPT-4o may inadvertently reproduce training data phrases. While copyright liability for AI-generated text is legally unsettled (2026), there is a non-trivial risk of a claim if generated content closely mirrors a copyrighted work.</w:t>
      </w:r>
    </w:p>
    <w:p w14:paraId="28DDE93E">
      <w:pPr>
        <w:spacing w:before="0" w:after="120"/>
      </w:pPr>
    </w:p>
    <w:p w14:paraId="435B5A77">
      <w:pPr>
        <w:pStyle w:val="4"/>
        <w:spacing w:before="200" w:after="100"/>
      </w:pPr>
      <w:r>
        <w:rPr>
          <w:rFonts w:ascii="Arial" w:hAnsi="Arial" w:eastAsia="Arial" w:cs="Arial"/>
          <w:b/>
          <w:bCs/>
          <w:color w:val="2E75B6"/>
          <w:sz w:val="22"/>
          <w:szCs w:val="22"/>
        </w:rPr>
        <w:t>Mitigation Strategy — LR-05</w:t>
      </w:r>
    </w:p>
    <w:p w14:paraId="3FDA1D49">
      <w:pPr>
        <w:pStyle w:val="16"/>
        <w:numPr>
          <w:ilvl w:val="0"/>
          <w:numId w:val="1"/>
        </w:numPr>
        <w:spacing w:before="40" w:after="40"/>
      </w:pPr>
      <w:r>
        <w:rPr>
          <w:rFonts w:ascii="Arial" w:hAnsi="Arial" w:eastAsia="Arial" w:cs="Arial"/>
          <w:sz w:val="22"/>
          <w:szCs w:val="22"/>
        </w:rPr>
        <w:t>All AI-generated content prompts instruct the model to write original content based on user-provided inputs — not to reproduce templates or external sources.</w:t>
      </w:r>
    </w:p>
    <w:p w14:paraId="63270C5F">
      <w:pPr>
        <w:pStyle w:val="16"/>
        <w:numPr>
          <w:ilvl w:val="0"/>
          <w:numId w:val="1"/>
        </w:numPr>
        <w:spacing w:before="40" w:after="40"/>
      </w:pPr>
      <w:r>
        <w:rPr>
          <w:rFonts w:ascii="Arial" w:hAnsi="Arial" w:eastAsia="Arial" w:cs="Arial"/>
          <w:sz w:val="22"/>
          <w:szCs w:val="22"/>
        </w:rPr>
        <w:t>Generated content is checked against a similarity index (cosine similarity &gt; 0.85 with known templates triggers a regeneration) before submission.</w:t>
      </w:r>
    </w:p>
    <w:p w14:paraId="0A9660AE">
      <w:pPr>
        <w:pStyle w:val="16"/>
        <w:numPr>
          <w:ilvl w:val="0"/>
          <w:numId w:val="1"/>
        </w:numPr>
        <w:spacing w:before="40" w:after="40"/>
      </w:pPr>
      <w:r>
        <w:rPr>
          <w:rFonts w:ascii="Arial" w:hAnsi="Arial" w:eastAsia="Arial" w:cs="Arial"/>
          <w:sz w:val="22"/>
          <w:szCs w:val="22"/>
        </w:rPr>
        <w:t>OpenAI's usage policy indemnifies customers from third-party IP claims for content generated by the API when used in accordance with their terms. This indemnification is documented and retained.</w:t>
      </w:r>
    </w:p>
    <w:p w14:paraId="49385C44">
      <w:pPr>
        <w:spacing w:before="0" w:after="240"/>
      </w:pPr>
    </w:p>
    <w:p w14:paraId="7A20E163">
      <w:pPr>
        <w:pStyle w:val="2"/>
        <w:spacing w:before="400" w:after="160"/>
        <w:rPr>
          <w:rFonts w:ascii="Arial" w:hAnsi="Arial" w:eastAsia="Arial" w:cs="Arial"/>
          <w:b/>
          <w:bCs/>
          <w:color w:val="0D1B2A"/>
          <w:sz w:val="32"/>
          <w:szCs w:val="32"/>
        </w:rPr>
      </w:pPr>
    </w:p>
    <w:p w14:paraId="6088460F">
      <w:pPr>
        <w:pStyle w:val="2"/>
        <w:spacing w:before="400" w:after="160"/>
        <w:rPr>
          <w:rFonts w:ascii="Arial" w:hAnsi="Arial" w:eastAsia="Arial" w:cs="Arial"/>
          <w:b/>
          <w:bCs/>
          <w:color w:val="0D1B2A"/>
          <w:sz w:val="32"/>
          <w:szCs w:val="32"/>
        </w:rPr>
      </w:pPr>
    </w:p>
    <w:p w14:paraId="2097DCA3">
      <w:pPr>
        <w:pStyle w:val="2"/>
        <w:spacing w:before="400" w:after="160"/>
      </w:pPr>
      <w:r>
        <w:rPr>
          <w:rFonts w:ascii="Arial" w:hAnsi="Arial" w:eastAsia="Arial" w:cs="Arial"/>
          <w:b/>
          <w:bCs/>
          <w:color w:val="0D1B2A"/>
          <w:sz w:val="32"/>
          <w:szCs w:val="32"/>
        </w:rPr>
        <w:t>7. Architectural Tradeoffs</w:t>
      </w:r>
    </w:p>
    <w:p w14:paraId="4537665D">
      <w:pPr>
        <w:spacing w:before="60" w:after="80"/>
      </w:pPr>
      <w:r>
        <w:rPr>
          <w:rFonts w:ascii="Arial" w:hAnsi="Arial" w:eastAsia="Arial" w:cs="Arial"/>
          <w:sz w:val="22"/>
          <w:szCs w:val="22"/>
        </w:rPr>
        <w:t>Every architectural decision in Bench Sales involves real tradeoffs. This section documents the key decisions, what was chosen, what was sacrificed, and under what conditions we would revisit the choice.</w:t>
      </w:r>
    </w:p>
    <w:p w14:paraId="0CA45691">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000"/>
        <w:gridCol w:w="1800"/>
        <w:gridCol w:w="1960"/>
      </w:tblGrid>
      <w:tr w14:paraId="17BF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4104C26">
            <w:r>
              <w:rPr>
                <w:rFonts w:ascii="Arial" w:hAnsi="Arial" w:eastAsia="Arial" w:cs="Arial"/>
                <w:b/>
                <w:bCs/>
                <w:color w:val="FFFFFF"/>
                <w:sz w:val="20"/>
                <w:szCs w:val="20"/>
              </w:rPr>
              <w:t>Decision</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D8BAB4C">
            <w:r>
              <w:rPr>
                <w:rFonts w:ascii="Arial" w:hAnsi="Arial" w:eastAsia="Arial" w:cs="Arial"/>
                <w:b/>
                <w:bCs/>
                <w:color w:val="FFFFFF"/>
                <w:sz w:val="20"/>
                <w:szCs w:val="20"/>
              </w:rPr>
              <w:t>Choice Made</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9D92EB8">
            <w:r>
              <w:rPr>
                <w:rFonts w:ascii="Arial" w:hAnsi="Arial" w:eastAsia="Arial" w:cs="Arial"/>
                <w:b/>
                <w:bCs/>
                <w:color w:val="FFFFFF"/>
                <w:sz w:val="20"/>
                <w:szCs w:val="20"/>
              </w:rPr>
              <w:t>Alternative Rejected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1E24987">
            <w:r>
              <w:rPr>
                <w:rFonts w:ascii="Arial" w:hAnsi="Arial" w:eastAsia="Arial" w:cs="Arial"/>
                <w:b/>
                <w:bCs/>
                <w:color w:val="FFFFFF"/>
                <w:sz w:val="20"/>
                <w:szCs w:val="20"/>
              </w:rPr>
              <w:t>What We Sacrificed</w:t>
            </w:r>
          </w:p>
        </w:tc>
        <w:tc>
          <w:tcPr>
            <w:tcW w:w="19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1463909">
            <w:r>
              <w:rPr>
                <w:rFonts w:ascii="Arial" w:hAnsi="Arial" w:eastAsia="Arial" w:cs="Arial"/>
                <w:b/>
                <w:bCs/>
                <w:color w:val="FFFFFF"/>
                <w:sz w:val="20"/>
                <w:szCs w:val="20"/>
              </w:rPr>
              <w:t>Revisit Condition</w:t>
            </w:r>
          </w:p>
        </w:tc>
      </w:tr>
      <w:tr w14:paraId="1A8E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B27530">
            <w:r>
              <w:rPr>
                <w:rFonts w:ascii="Arial" w:hAnsi="Arial" w:eastAsia="Arial" w:cs="Arial"/>
                <w:color w:val="0D1B2A"/>
                <w:sz w:val="20"/>
                <w:szCs w:val="20"/>
              </w:rPr>
              <w:t>Backend platform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89470A">
            <w:r>
              <w:rPr>
                <w:rFonts w:ascii="Arial" w:hAnsi="Arial" w:eastAsia="Arial" w:cs="Arial"/>
                <w:color w:val="0D1B2A"/>
                <w:sz w:val="20"/>
                <w:szCs w:val="20"/>
              </w:rPr>
              <w:t>Firebase (Firestore + Auth + Functions)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44832C">
            <w:r>
              <w:rPr>
                <w:rFonts w:ascii="Arial" w:hAnsi="Arial" w:eastAsia="Arial" w:cs="Arial"/>
                <w:color w:val="0D1B2A"/>
                <w:sz w:val="20"/>
                <w:szCs w:val="20"/>
              </w:rPr>
              <w:t>Supabase + PostgreSQL + custom auth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785C35">
            <w:r>
              <w:rPr>
                <w:rFonts w:ascii="Arial" w:hAnsi="Arial" w:eastAsia="Arial" w:cs="Arial"/>
                <w:color w:val="0D1B2A"/>
                <w:sz w:val="20"/>
                <w:szCs w:val="20"/>
              </w:rPr>
              <w:t>SQL query flexibility, JOIN capability, lower cost at scale</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B8E95A">
            <w:r>
              <w:rPr>
                <w:rFonts w:ascii="Arial" w:hAnsi="Arial" w:eastAsia="Arial" w:cs="Arial"/>
                <w:color w:val="0D1B2A"/>
                <w:sz w:val="20"/>
                <w:szCs w:val="20"/>
              </w:rPr>
              <w:t>If Firestore costs exceed $5K/month — migrate analytics to BigQuery, consider PostgreSQL for structured data</w:t>
            </w:r>
          </w:p>
        </w:tc>
      </w:tr>
      <w:tr w14:paraId="7B78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2E8730">
            <w:r>
              <w:rPr>
                <w:rFonts w:ascii="Arial" w:hAnsi="Arial" w:eastAsia="Arial" w:cs="Arial"/>
                <w:color w:val="0D1B2A"/>
                <w:sz w:val="20"/>
                <w:szCs w:val="20"/>
              </w:rPr>
              <w:t>Automation engine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D38B0BD">
            <w:r>
              <w:rPr>
                <w:rFonts w:ascii="Arial" w:hAnsi="Arial" w:eastAsia="Arial" w:cs="Arial"/>
                <w:color w:val="0D1B2A"/>
                <w:sz w:val="20"/>
                <w:szCs w:val="20"/>
              </w:rPr>
              <w:t>n8n (self-hosted, queue mode)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9AC46E2">
            <w:r>
              <w:rPr>
                <w:rFonts w:ascii="Arial" w:hAnsi="Arial" w:eastAsia="Arial" w:cs="Arial"/>
                <w:color w:val="0D1B2A"/>
                <w:sz w:val="20"/>
                <w:szCs w:val="20"/>
              </w:rPr>
              <w:t>Temporal.io (cloud-native workflows)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48583F5">
            <w:r>
              <w:rPr>
                <w:rFonts w:ascii="Arial" w:hAnsi="Arial" w:eastAsia="Arial" w:cs="Arial"/>
                <w:color w:val="0D1B2A"/>
                <w:sz w:val="20"/>
                <w:szCs w:val="20"/>
              </w:rPr>
              <w:t>Workflow durability, built-in retry semantics, activity history</w:t>
            </w:r>
          </w:p>
        </w:tc>
        <w:tc>
          <w:tcPr>
            <w:tcW w:w="1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48F669">
            <w:r>
              <w:rPr>
                <w:rFonts w:ascii="Arial" w:hAnsi="Arial" w:eastAsia="Arial" w:cs="Arial"/>
                <w:color w:val="0D1B2A"/>
                <w:sz w:val="20"/>
                <w:szCs w:val="20"/>
              </w:rPr>
              <w:t>If n8n worker crashes exceed 2% of workflow runs — evaluate Temporal migration</w:t>
            </w:r>
          </w:p>
        </w:tc>
      </w:tr>
      <w:tr w14:paraId="5506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B87498">
            <w:r>
              <w:rPr>
                <w:rFonts w:ascii="Arial" w:hAnsi="Arial" w:eastAsia="Arial" w:cs="Arial"/>
                <w:color w:val="0D1B2A"/>
                <w:sz w:val="20"/>
                <w:szCs w:val="20"/>
              </w:rPr>
              <w:t>Apply executor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BFBC33">
            <w:r>
              <w:rPr>
                <w:rFonts w:ascii="Arial" w:hAnsi="Arial" w:eastAsia="Arial" w:cs="Arial"/>
                <w:color w:val="0D1B2A"/>
                <w:sz w:val="20"/>
                <w:szCs w:val="20"/>
              </w:rPr>
              <w:t>Playwright + Chromium (Cloud Run)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603326">
            <w:r>
              <w:rPr>
                <w:rFonts w:ascii="Arial" w:hAnsi="Arial" w:eastAsia="Arial" w:cs="Arial"/>
                <w:color w:val="0D1B2A"/>
                <w:sz w:val="20"/>
                <w:szCs w:val="20"/>
              </w:rPr>
              <w:t>Puppeteer / CDP direct, or third-party RPA (UiPath)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F0F31E">
            <w:r>
              <w:rPr>
                <w:rFonts w:ascii="Arial" w:hAnsi="Arial" w:eastAsia="Arial" w:cs="Arial"/>
                <w:color w:val="0D1B2A"/>
                <w:sz w:val="20"/>
                <w:szCs w:val="20"/>
              </w:rPr>
              <w:t>UiPath managed infrastructure, lower maintenance; Puppeteer lighter weight</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FB432C">
            <w:r>
              <w:rPr>
                <w:rFonts w:ascii="Arial" w:hAnsi="Arial" w:eastAsia="Arial" w:cs="Arial"/>
                <w:color w:val="0D1B2A"/>
                <w:sz w:val="20"/>
                <w:szCs w:val="20"/>
              </w:rPr>
              <w:t>If Cloud Run costs exceed $4K/month — evaluate pre-warmed Puppeteer cluster on GCE</w:t>
            </w:r>
          </w:p>
        </w:tc>
      </w:tr>
      <w:tr w14:paraId="675A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D6730B7">
            <w:r>
              <w:rPr>
                <w:rFonts w:ascii="Arial" w:hAnsi="Arial" w:eastAsia="Arial" w:cs="Arial"/>
                <w:color w:val="0D1B2A"/>
                <w:sz w:val="20"/>
                <w:szCs w:val="20"/>
              </w:rPr>
              <w:t>Mobile frontend</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D9BB7B">
            <w:r>
              <w:rPr>
                <w:rFonts w:ascii="Arial" w:hAnsi="Arial" w:eastAsia="Arial" w:cs="Arial"/>
                <w:color w:val="0D1B2A"/>
                <w:sz w:val="20"/>
                <w:szCs w:val="20"/>
              </w:rPr>
              <w:t>React Native (Expo)</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FBD63B7">
            <w:r>
              <w:rPr>
                <w:rFonts w:ascii="Arial" w:hAnsi="Arial" w:eastAsia="Arial" w:cs="Arial"/>
                <w:color w:val="0D1B2A"/>
                <w:sz w:val="20"/>
                <w:szCs w:val="20"/>
              </w:rPr>
              <w:t>Flutter / native iOS+Android</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33401F3">
            <w:r>
              <w:rPr>
                <w:rFonts w:ascii="Arial" w:hAnsi="Arial" w:eastAsia="Arial" w:cs="Arial"/>
                <w:color w:val="0D1B2A"/>
                <w:sz w:val="20"/>
                <w:szCs w:val="20"/>
              </w:rPr>
              <w:t>Dart ecosystem, better native performance, tighter platform integration</w:t>
            </w:r>
          </w:p>
        </w:tc>
        <w:tc>
          <w:tcPr>
            <w:tcW w:w="1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CB49DF">
            <w:r>
              <w:rPr>
                <w:rFonts w:ascii="Arial" w:hAnsi="Arial" w:eastAsia="Arial" w:cs="Arial"/>
                <w:color w:val="0D1B2A"/>
                <w:sz w:val="20"/>
                <w:szCs w:val="20"/>
              </w:rPr>
              <w:t>If React Native bridge performance causes jank on low-end Android — evaluate Flutter</w:t>
            </w:r>
          </w:p>
        </w:tc>
      </w:tr>
      <w:tr w14:paraId="7529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DA71EB">
            <w:r>
              <w:rPr>
                <w:rFonts w:ascii="Arial" w:hAnsi="Arial" w:eastAsia="Arial" w:cs="Arial"/>
                <w:color w:val="0D1B2A"/>
                <w:sz w:val="20"/>
                <w:szCs w:val="20"/>
              </w:rPr>
              <w:t>State management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A23C85">
            <w:r>
              <w:rPr>
                <w:rFonts w:ascii="Arial" w:hAnsi="Arial" w:eastAsia="Arial" w:cs="Arial"/>
                <w:color w:val="0D1B2A"/>
                <w:sz w:val="20"/>
                <w:szCs w:val="20"/>
              </w:rPr>
              <w:t>Zustand (lightweight)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86D98C">
            <w:r>
              <w:rPr>
                <w:rFonts w:ascii="Arial" w:hAnsi="Arial" w:eastAsia="Arial" w:cs="Arial"/>
                <w:color w:val="0D1B2A"/>
                <w:sz w:val="20"/>
                <w:szCs w:val="20"/>
              </w:rPr>
              <w:t>Redux Toolkit (structured)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9C2A78">
            <w:r>
              <w:rPr>
                <w:rFonts w:ascii="Arial" w:hAnsi="Arial" w:eastAsia="Arial" w:cs="Arial"/>
                <w:color w:val="0D1B2A"/>
                <w:sz w:val="20"/>
                <w:szCs w:val="20"/>
              </w:rPr>
              <w:t>Redux DevTools, time-travel debugging, stronger TypeScript types</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78C176">
            <w:r>
              <w:rPr>
                <w:rFonts w:ascii="Arial" w:hAnsi="Arial" w:eastAsia="Arial" w:cs="Arial"/>
                <w:color w:val="0D1B2A"/>
                <w:sz w:val="20"/>
                <w:szCs w:val="20"/>
              </w:rPr>
              <w:t>If app state exceeds 15 stores or complex async flows emerge — migrate to RTK</w:t>
            </w:r>
          </w:p>
        </w:tc>
      </w:tr>
      <w:tr w14:paraId="0745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0055E3">
            <w:r>
              <w:rPr>
                <w:rFonts w:ascii="Arial" w:hAnsi="Arial" w:eastAsia="Arial" w:cs="Arial"/>
                <w:color w:val="0D1B2A"/>
                <w:sz w:val="20"/>
                <w:szCs w:val="20"/>
              </w:rPr>
              <w:t>Job sources</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0817BE">
            <w:r>
              <w:rPr>
                <w:rFonts w:ascii="Arial" w:hAnsi="Arial" w:eastAsia="Arial" w:cs="Arial"/>
                <w:color w:val="0D1B2A"/>
                <w:sz w:val="20"/>
                <w:szCs w:val="20"/>
              </w:rPr>
              <w:t>Adzuna API + Indeed Publisher + Dice RSS + Naukri scrape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9AAFC7D">
            <w:r>
              <w:rPr>
                <w:rFonts w:ascii="Arial" w:hAnsi="Arial" w:eastAsia="Arial" w:cs="Arial"/>
                <w:color w:val="0D1B2A"/>
                <w:sz w:val="20"/>
                <w:szCs w:val="20"/>
              </w:rPr>
              <w:t>Direct LinkedIn API (official)</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F814A4B">
            <w:r>
              <w:rPr>
                <w:rFonts w:ascii="Arial" w:hAnsi="Arial" w:eastAsia="Arial" w:cs="Arial"/>
                <w:color w:val="0D1B2A"/>
                <w:sz w:val="20"/>
                <w:szCs w:val="20"/>
              </w:rPr>
              <w:t>LinkedIn's 700M+ network, premium job listings, recruiter direct contact</w:t>
            </w:r>
          </w:p>
        </w:tc>
        <w:tc>
          <w:tcPr>
            <w:tcW w:w="1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AB9F940">
            <w:r>
              <w:rPr>
                <w:rFonts w:ascii="Arial" w:hAnsi="Arial" w:eastAsia="Arial" w:cs="Arial"/>
                <w:color w:val="0D1B2A"/>
                <w:sz w:val="20"/>
                <w:szCs w:val="20"/>
              </w:rPr>
              <w:t>If LinkedIn offers an official job application API — integrate immediately</w:t>
            </w:r>
          </w:p>
        </w:tc>
      </w:tr>
      <w:tr w14:paraId="5D9D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64EBF2">
            <w:r>
              <w:rPr>
                <w:rFonts w:ascii="Arial" w:hAnsi="Arial" w:eastAsia="Arial" w:cs="Arial"/>
                <w:color w:val="0D1B2A"/>
                <w:sz w:val="20"/>
                <w:szCs w:val="20"/>
              </w:rPr>
              <w:t>AI provider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879CE1">
            <w:r>
              <w:rPr>
                <w:rFonts w:ascii="Arial" w:hAnsi="Arial" w:eastAsia="Arial" w:cs="Arial"/>
                <w:color w:val="0D1B2A"/>
                <w:sz w:val="20"/>
                <w:szCs w:val="20"/>
              </w:rPr>
              <w:t>OpenAI GPT-4o / 4o-mini primary, Claude fallback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A87090">
            <w:r>
              <w:rPr>
                <w:rFonts w:ascii="Arial" w:hAnsi="Arial" w:eastAsia="Arial" w:cs="Arial"/>
                <w:color w:val="0D1B2A"/>
                <w:sz w:val="20"/>
                <w:szCs w:val="20"/>
              </w:rPr>
              <w:t>Single-provider (OpenAI only)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A6A4F2">
            <w:r>
              <w:rPr>
                <w:rFonts w:ascii="Arial" w:hAnsi="Arial" w:eastAsia="Arial" w:cs="Arial"/>
                <w:color w:val="0D1B2A"/>
                <w:sz w:val="20"/>
                <w:szCs w:val="20"/>
              </w:rPr>
              <w:t>Simplified billing, one API contract, lower integration complexity</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65D3F7">
            <w:r>
              <w:rPr>
                <w:rFonts w:ascii="Arial" w:hAnsi="Arial" w:eastAsia="Arial" w:cs="Arial"/>
                <w:color w:val="0D1B2A"/>
                <w:sz w:val="20"/>
                <w:szCs w:val="20"/>
              </w:rPr>
              <w:t>If OpenAI pricing increases &gt;50% — evaluate Claude as primary, GPT as fallback</w:t>
            </w:r>
          </w:p>
        </w:tc>
      </w:tr>
    </w:tbl>
    <w:p w14:paraId="68534156">
      <w:pPr>
        <w:spacing w:before="0" w:after="240"/>
      </w:pPr>
    </w:p>
    <w:p w14:paraId="2145A7F8">
      <w:pPr>
        <w:pStyle w:val="2"/>
        <w:spacing w:before="400" w:after="160"/>
      </w:pPr>
      <w:r>
        <w:rPr>
          <w:rFonts w:ascii="Arial" w:hAnsi="Arial" w:eastAsia="Arial" w:cs="Arial"/>
          <w:b/>
          <w:bCs/>
          <w:color w:val="0D1B2A"/>
          <w:sz w:val="32"/>
          <w:szCs w:val="32"/>
        </w:rPr>
        <w:t>8. Risk Mitigation Roadmap</w:t>
      </w:r>
    </w:p>
    <w:p w14:paraId="34E6B889">
      <w:pPr>
        <w:spacing w:before="60" w:after="80"/>
      </w:pPr>
      <w:r>
        <w:rPr>
          <w:rFonts w:ascii="Arial" w:hAnsi="Arial" w:eastAsia="Arial" w:cs="Arial"/>
          <w:sz w:val="22"/>
          <w:szCs w:val="22"/>
        </w:rPr>
        <w:t>The following roadmap prioritises risk mitigation work across the product development timeline. Critical risks must be mitigated before any user onboarding begins.</w:t>
      </w:r>
    </w:p>
    <w:p w14:paraId="17EF282A">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800"/>
        <w:gridCol w:w="4760"/>
      </w:tblGrid>
      <w:tr w14:paraId="2C44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A12F14E">
            <w:r>
              <w:rPr>
                <w:rFonts w:ascii="Arial" w:hAnsi="Arial" w:eastAsia="Arial" w:cs="Arial"/>
                <w:b/>
                <w:bCs/>
                <w:color w:val="FFFFFF"/>
                <w:sz w:val="20"/>
                <w:szCs w:val="20"/>
              </w:rPr>
              <w:t>Phase</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AE3F739">
            <w:r>
              <w:rPr>
                <w:rFonts w:ascii="Arial" w:hAnsi="Arial" w:eastAsia="Arial" w:cs="Arial"/>
                <w:b/>
                <w:bCs/>
                <w:color w:val="FFFFFF"/>
                <w:sz w:val="20"/>
                <w:szCs w:val="20"/>
              </w:rPr>
              <w:t>Timeline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D24DDE4">
            <w:r>
              <w:rPr>
                <w:rFonts w:ascii="Arial" w:hAnsi="Arial" w:eastAsia="Arial" w:cs="Arial"/>
                <w:b/>
                <w:bCs/>
                <w:color w:val="FFFFFF"/>
                <w:sz w:val="20"/>
                <w:szCs w:val="20"/>
              </w:rPr>
              <w:t>Risk IDs Addressed</w:t>
            </w:r>
          </w:p>
        </w:tc>
        <w:tc>
          <w:tcPr>
            <w:tcW w:w="47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DE203C9">
            <w:r>
              <w:rPr>
                <w:rFonts w:ascii="Arial" w:hAnsi="Arial" w:eastAsia="Arial" w:cs="Arial"/>
                <w:b/>
                <w:bCs/>
                <w:color w:val="FFFFFF"/>
                <w:sz w:val="20"/>
                <w:szCs w:val="20"/>
              </w:rPr>
              <w:t>Deliverable</w:t>
            </w:r>
          </w:p>
        </w:tc>
      </w:tr>
      <w:tr w14:paraId="3F0D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2C0724">
            <w:r>
              <w:rPr>
                <w:rFonts w:ascii="Arial" w:hAnsi="Arial" w:eastAsia="Arial" w:cs="Arial"/>
                <w:color w:val="0D1B2A"/>
                <w:sz w:val="20"/>
                <w:szCs w:val="20"/>
              </w:rPr>
              <w:t>Pre-launch (Legal)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A43E11">
            <w:r>
              <w:rPr>
                <w:rFonts w:ascii="Arial" w:hAnsi="Arial" w:eastAsia="Arial" w:cs="Arial"/>
                <w:color w:val="0D1B2A"/>
                <w:sz w:val="20"/>
                <w:szCs w:val="20"/>
              </w:rPr>
              <w:t>Weeks 1–4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B769BE">
            <w:r>
              <w:rPr>
                <w:rFonts w:ascii="Arial" w:hAnsi="Arial" w:eastAsia="Arial" w:cs="Arial"/>
                <w:color w:val="0D1B2A"/>
                <w:sz w:val="20"/>
                <w:szCs w:val="20"/>
              </w:rPr>
              <w:t>LR-01, LR-02, LR-04</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694EA7">
            <w:r>
              <w:rPr>
                <w:rFonts w:ascii="Arial" w:hAnsi="Arial" w:eastAsia="Arial" w:cs="Arial"/>
                <w:color w:val="0D1B2A"/>
                <w:sz w:val="20"/>
                <w:szCs w:val="20"/>
              </w:rPr>
              <w:t>Technology law firm engaged. DPDP compliance checklist signed off. ToS v1.0 drafted with liability clauses.</w:t>
            </w:r>
          </w:p>
        </w:tc>
      </w:tr>
      <w:tr w14:paraId="2033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F341CE">
            <w:r>
              <w:rPr>
                <w:rFonts w:ascii="Arial" w:hAnsi="Arial" w:eastAsia="Arial" w:cs="Arial"/>
                <w:color w:val="0D1B2A"/>
                <w:sz w:val="20"/>
                <w:szCs w:val="20"/>
              </w:rPr>
              <w:t>Pre-launch (Technical)</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58465CA">
            <w:r>
              <w:rPr>
                <w:rFonts w:ascii="Arial" w:hAnsi="Arial" w:eastAsia="Arial" w:cs="Arial"/>
                <w:color w:val="0D1B2A"/>
                <w:sz w:val="20"/>
                <w:szCs w:val="20"/>
              </w:rPr>
              <w:t>Weeks 3–8</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EBA2C3">
            <w:r>
              <w:rPr>
                <w:rFonts w:ascii="Arial" w:hAnsi="Arial" w:eastAsia="Arial" w:cs="Arial"/>
                <w:color w:val="0D1B2A"/>
                <w:sz w:val="20"/>
                <w:szCs w:val="20"/>
              </w:rPr>
              <w:t>TR-01, TR-02, TR-04</w:t>
            </w:r>
          </w:p>
        </w:tc>
        <w:tc>
          <w:tcPr>
            <w:tcW w:w="4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0128A54">
            <w:r>
              <w:rPr>
                <w:rFonts w:ascii="Arial" w:hAnsi="Arial" w:eastAsia="Arial" w:cs="Arial"/>
                <w:color w:val="0D1B2A"/>
                <w:sz w:val="20"/>
                <w:szCs w:val="20"/>
              </w:rPr>
              <w:t>Anti-ban stack deployed and tested. CAPTCHA solver integrated. ATS selector health check WF-008 live.</w:t>
            </w:r>
          </w:p>
        </w:tc>
      </w:tr>
      <w:tr w14:paraId="2442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74A290">
            <w:r>
              <w:rPr>
                <w:rFonts w:ascii="Arial" w:hAnsi="Arial" w:eastAsia="Arial" w:cs="Arial"/>
                <w:color w:val="0D1B2A"/>
                <w:sz w:val="20"/>
                <w:szCs w:val="20"/>
              </w:rPr>
              <w:t>Pre-launch (Product)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EFF9AF">
            <w:r>
              <w:rPr>
                <w:rFonts w:ascii="Arial" w:hAnsi="Arial" w:eastAsia="Arial" w:cs="Arial"/>
                <w:color w:val="0D1B2A"/>
                <w:sz w:val="20"/>
                <w:szCs w:val="20"/>
              </w:rPr>
              <w:t>Weeks 6–10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B9018D">
            <w:r>
              <w:rPr>
                <w:rFonts w:ascii="Arial" w:hAnsi="Arial" w:eastAsia="Arial" w:cs="Arial"/>
                <w:color w:val="0D1B2A"/>
                <w:sz w:val="20"/>
                <w:szCs w:val="20"/>
              </w:rPr>
              <w:t>ET-01, ET-04, PR-01</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AF59F0">
            <w:r>
              <w:rPr>
                <w:rFonts w:ascii="Arial" w:hAnsi="Arial" w:eastAsia="Arial" w:cs="Arial"/>
                <w:color w:val="0D1B2A"/>
                <w:sz w:val="20"/>
                <w:szCs w:val="20"/>
              </w:rPr>
              <w:t>Consent flow implemented and audited. Recruiter spam prevention enforced. Callback rate dashboard live.</w:t>
            </w:r>
          </w:p>
        </w:tc>
      </w:tr>
      <w:tr w14:paraId="7B38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C88736">
            <w:r>
              <w:rPr>
                <w:rFonts w:ascii="Arial" w:hAnsi="Arial" w:eastAsia="Arial" w:cs="Arial"/>
                <w:color w:val="0D1B2A"/>
                <w:sz w:val="20"/>
                <w:szCs w:val="20"/>
              </w:rPr>
              <w:t>MVP Launch</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6701176">
            <w:r>
              <w:rPr>
                <w:rFonts w:ascii="Arial" w:hAnsi="Arial" w:eastAsia="Arial" w:cs="Arial"/>
                <w:color w:val="0D1B2A"/>
                <w:sz w:val="20"/>
                <w:szCs w:val="20"/>
              </w:rPr>
              <w:t>Week 12</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FD66F2A">
            <w:r>
              <w:rPr>
                <w:rFonts w:ascii="Arial" w:hAnsi="Arial" w:eastAsia="Arial" w:cs="Arial"/>
                <w:color w:val="0D1B2A"/>
                <w:sz w:val="20"/>
                <w:szCs w:val="20"/>
              </w:rPr>
              <w:t>All Critical risks</w:t>
            </w:r>
          </w:p>
        </w:tc>
        <w:tc>
          <w:tcPr>
            <w:tcW w:w="4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E299FCE">
            <w:r>
              <w:rPr>
                <w:rFonts w:ascii="Arial" w:hAnsi="Arial" w:eastAsia="Arial" w:cs="Arial"/>
                <w:color w:val="0D1B2A"/>
                <w:sz w:val="20"/>
                <w:szCs w:val="20"/>
              </w:rPr>
              <w:t>All Critical-rated risks have documented mitigations live in production. Risk register reviewed.</w:t>
            </w:r>
          </w:p>
        </w:tc>
      </w:tr>
      <w:tr w14:paraId="536D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7647F0">
            <w:r>
              <w:rPr>
                <w:rFonts w:ascii="Arial" w:hAnsi="Arial" w:eastAsia="Arial" w:cs="Arial"/>
                <w:color w:val="0D1B2A"/>
                <w:sz w:val="20"/>
                <w:szCs w:val="20"/>
              </w:rPr>
              <w:t>Post-launch (Month 1–3)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EF1183">
            <w:r>
              <w:rPr>
                <w:rFonts w:ascii="Arial" w:hAnsi="Arial" w:eastAsia="Arial" w:cs="Arial"/>
                <w:color w:val="0D1B2A"/>
                <w:sz w:val="20"/>
                <w:szCs w:val="20"/>
              </w:rPr>
              <w:t>Ongoing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3DCABE">
            <w:r>
              <w:rPr>
                <w:rFonts w:ascii="Arial" w:hAnsi="Arial" w:eastAsia="Arial" w:cs="Arial"/>
                <w:color w:val="0D1B2A"/>
                <w:sz w:val="20"/>
                <w:szCs w:val="20"/>
              </w:rPr>
              <w:t>ET-02, ET-05, PR-02</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2B12AC">
            <w:r>
              <w:rPr>
                <w:rFonts w:ascii="Arial" w:hAnsi="Arial" w:eastAsia="Arial" w:cs="Arial"/>
                <w:color w:val="0D1B2A"/>
                <w:sz w:val="20"/>
                <w:szCs w:val="20"/>
              </w:rPr>
              <w:t>AI honesty constraints deployed. Bias audit run on first 1,000 applications. Agent oversight tooling live.</w:t>
            </w:r>
          </w:p>
        </w:tc>
      </w:tr>
      <w:tr w14:paraId="4710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A47B8DF">
            <w:r>
              <w:rPr>
                <w:rFonts w:ascii="Arial" w:hAnsi="Arial" w:eastAsia="Arial" w:cs="Arial"/>
                <w:color w:val="0D1B2A"/>
                <w:sz w:val="20"/>
                <w:szCs w:val="20"/>
              </w:rPr>
              <w:t>Tier-1 (Month 3–6)</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1B2DA4F">
            <w:r>
              <w:rPr>
                <w:rFonts w:ascii="Arial" w:hAnsi="Arial" w:eastAsia="Arial" w:cs="Arial"/>
                <w:color w:val="0D1B2A"/>
                <w:sz w:val="20"/>
                <w:szCs w:val="20"/>
              </w:rPr>
              <w:t>At 100+ users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94DDCA5">
            <w:r>
              <w:rPr>
                <w:rFonts w:ascii="Arial" w:hAnsi="Arial" w:eastAsia="Arial" w:cs="Arial"/>
                <w:color w:val="0D1B2A"/>
                <w:sz w:val="20"/>
                <w:szCs w:val="20"/>
              </w:rPr>
              <w:t>LR-03, PR-03, TR-03</w:t>
            </w:r>
          </w:p>
        </w:tc>
        <w:tc>
          <w:tcPr>
            <w:tcW w:w="4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D5365C0">
            <w:r>
              <w:rPr>
                <w:rFonts w:ascii="Arial" w:hAnsi="Arial" w:eastAsia="Arial" w:cs="Arial"/>
                <w:color w:val="0D1B2A"/>
                <w:sz w:val="20"/>
                <w:szCs w:val="20"/>
              </w:rPr>
              <w:t>Application review window feature. E&amp;O insurance obtained. PII audit complete.</w:t>
            </w:r>
          </w:p>
        </w:tc>
      </w:tr>
      <w:tr w14:paraId="538D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F23EF7">
            <w:r>
              <w:rPr>
                <w:rFonts w:ascii="Arial" w:hAnsi="Arial" w:eastAsia="Arial" w:cs="Arial"/>
                <w:color w:val="0D1B2A"/>
                <w:sz w:val="20"/>
                <w:szCs w:val="20"/>
              </w:rPr>
              <w:t>Tier-2 (Month 6–12)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50D269">
            <w:r>
              <w:rPr>
                <w:rFonts w:ascii="Arial" w:hAnsi="Arial" w:eastAsia="Arial" w:cs="Arial"/>
                <w:color w:val="0D1B2A"/>
                <w:sz w:val="20"/>
                <w:szCs w:val="20"/>
              </w:rPr>
              <w:t>At 1,000+ users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0019FE">
            <w:r>
              <w:rPr>
                <w:rFonts w:ascii="Arial" w:hAnsi="Arial" w:eastAsia="Arial" w:cs="Arial"/>
                <w:color w:val="0D1B2A"/>
                <w:sz w:val="20"/>
                <w:szCs w:val="20"/>
              </w:rPr>
              <w:t>ET-03, LR-02 (EU)</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9EB827">
            <w:r>
              <w:rPr>
                <w:rFonts w:ascii="Arial" w:hAnsi="Arial" w:eastAsia="Arial" w:cs="Arial"/>
                <w:color w:val="0D1B2A"/>
                <w:sz w:val="20"/>
                <w:szCs w:val="20"/>
              </w:rPr>
              <w:t>DPO appointed. EU SCCs executed. Public ethics statement published.</w:t>
            </w:r>
          </w:p>
        </w:tc>
      </w:tr>
    </w:tbl>
    <w:p w14:paraId="7009B684">
      <w:pPr>
        <w:spacing w:before="0" w:after="240"/>
      </w:pPr>
    </w:p>
    <w:p w14:paraId="11E633BE">
      <w:pPr>
        <w:pStyle w:val="2"/>
        <w:spacing w:before="400" w:after="160"/>
        <w:rPr>
          <w:rFonts w:ascii="Arial" w:hAnsi="Arial" w:eastAsia="Arial" w:cs="Arial"/>
          <w:b/>
          <w:bCs/>
          <w:color w:val="0D1B2A"/>
          <w:sz w:val="32"/>
          <w:szCs w:val="32"/>
        </w:rPr>
      </w:pPr>
    </w:p>
    <w:p w14:paraId="6410E285">
      <w:pPr>
        <w:pStyle w:val="2"/>
        <w:spacing w:before="400" w:after="160"/>
        <w:rPr>
          <w:rFonts w:ascii="Arial" w:hAnsi="Arial" w:eastAsia="Arial" w:cs="Arial"/>
          <w:b/>
          <w:bCs/>
          <w:color w:val="0D1B2A"/>
          <w:sz w:val="32"/>
          <w:szCs w:val="32"/>
        </w:rPr>
      </w:pPr>
    </w:p>
    <w:p w14:paraId="377BECCD">
      <w:pPr>
        <w:pStyle w:val="2"/>
        <w:spacing w:before="400" w:after="160"/>
        <w:rPr>
          <w:rFonts w:ascii="Arial" w:hAnsi="Arial" w:eastAsia="Arial" w:cs="Arial"/>
          <w:b/>
          <w:bCs/>
          <w:color w:val="0D1B2A"/>
          <w:sz w:val="32"/>
          <w:szCs w:val="32"/>
        </w:rPr>
      </w:pPr>
    </w:p>
    <w:p w14:paraId="3395D9E3">
      <w:pPr>
        <w:pStyle w:val="2"/>
        <w:spacing w:before="400" w:after="160"/>
      </w:pPr>
      <w:r>
        <w:rPr>
          <w:rFonts w:ascii="Arial" w:hAnsi="Arial" w:eastAsia="Arial" w:cs="Arial"/>
          <w:b/>
          <w:bCs/>
          <w:color w:val="0D1B2A"/>
          <w:sz w:val="32"/>
          <w:szCs w:val="32"/>
        </w:rPr>
        <w:t>9. Incident Response for Risk Materialisation</w:t>
      </w:r>
    </w:p>
    <w:p w14:paraId="19C79082">
      <w:pPr>
        <w:spacing w:before="0" w:after="120"/>
      </w:pPr>
    </w:p>
    <w:p w14:paraId="0B53108E">
      <w:pPr>
        <w:pStyle w:val="3"/>
        <w:spacing w:before="300" w:after="120"/>
      </w:pPr>
      <w:r>
        <w:rPr>
          <w:rFonts w:ascii="Arial" w:hAnsi="Arial" w:eastAsia="Arial" w:cs="Arial"/>
          <w:b/>
          <w:bCs/>
          <w:color w:val="1B3A5C"/>
          <w:sz w:val="26"/>
          <w:szCs w:val="26"/>
        </w:rPr>
        <w:t>9.1 Platform Ban Response (TR-01 materialises)</w:t>
      </w:r>
    </w:p>
    <w:p w14:paraId="662A158F">
      <w:pPr>
        <w:pStyle w:val="16"/>
        <w:numPr>
          <w:ilvl w:val="0"/>
          <w:numId w:val="2"/>
        </w:numPr>
        <w:spacing w:before="40" w:after="40"/>
      </w:pPr>
      <w:r>
        <w:rPr>
          <w:rFonts w:ascii="Arial" w:hAnsi="Arial" w:eastAsia="Arial" w:cs="Arial"/>
          <w:sz w:val="22"/>
          <w:szCs w:val="22"/>
        </w:rPr>
        <w:t>Immediate (0–2 hours): Disable all automation for the banned platform. Notify affected users via FCM push + email.</w:t>
      </w:r>
    </w:p>
    <w:p w14:paraId="7E5813AF">
      <w:pPr>
        <w:pStyle w:val="16"/>
        <w:numPr>
          <w:ilvl w:val="0"/>
          <w:numId w:val="2"/>
        </w:numPr>
        <w:spacing w:before="40" w:after="40"/>
      </w:pPr>
      <w:r>
        <w:rPr>
          <w:rFonts w:ascii="Arial" w:hAnsi="Arial" w:eastAsia="Arial" w:cs="Arial"/>
          <w:sz w:val="22"/>
          <w:szCs w:val="22"/>
        </w:rPr>
        <w:t>Short-term (2–24 hours): Redistribute job quota to unaffected sources. Update user dashboards to show source change.</w:t>
      </w:r>
    </w:p>
    <w:p w14:paraId="3DF65567">
      <w:pPr>
        <w:pStyle w:val="16"/>
        <w:numPr>
          <w:ilvl w:val="0"/>
          <w:numId w:val="2"/>
        </w:numPr>
        <w:spacing w:before="40" w:after="40"/>
      </w:pPr>
      <w:r>
        <w:rPr>
          <w:rFonts w:ascii="Arial" w:hAnsi="Arial" w:eastAsia="Arial" w:cs="Arial"/>
          <w:sz w:val="22"/>
          <w:szCs w:val="22"/>
        </w:rPr>
        <w:t>Investigation (24–72 hours): Identify detection vector. Rotate all IPs and browser profiles. Rebuild fingerprint strategy.</w:t>
      </w:r>
    </w:p>
    <w:p w14:paraId="1262403B">
      <w:pPr>
        <w:pStyle w:val="16"/>
        <w:numPr>
          <w:ilvl w:val="0"/>
          <w:numId w:val="2"/>
        </w:numPr>
        <w:spacing w:before="40" w:after="40"/>
      </w:pPr>
      <w:r>
        <w:rPr>
          <w:rFonts w:ascii="Arial" w:hAnsi="Arial" w:eastAsia="Arial" w:cs="Arial"/>
          <w:sz w:val="22"/>
          <w:szCs w:val="22"/>
        </w:rPr>
        <w:t>Recovery: Gradually re-enable with new profile strategy. Monitor success rate for 48h before full restore.</w:t>
      </w:r>
    </w:p>
    <w:p w14:paraId="2F7CC997">
      <w:pPr>
        <w:spacing w:before="0" w:after="200"/>
      </w:pPr>
    </w:p>
    <w:p w14:paraId="53A5AA2E">
      <w:pPr>
        <w:pStyle w:val="3"/>
        <w:spacing w:before="300" w:after="120"/>
      </w:pPr>
      <w:r>
        <w:rPr>
          <w:rFonts w:ascii="Arial" w:hAnsi="Arial" w:eastAsia="Arial" w:cs="Arial"/>
          <w:b/>
          <w:bCs/>
          <w:color w:val="1B3A5C"/>
          <w:sz w:val="26"/>
          <w:szCs w:val="26"/>
        </w:rPr>
        <w:t>9.2 Data Breach Response (PR-03 materialises)</w:t>
      </w:r>
    </w:p>
    <w:p w14:paraId="194FB21C">
      <w:pPr>
        <w:pStyle w:val="16"/>
        <w:numPr>
          <w:ilvl w:val="0"/>
          <w:numId w:val="2"/>
        </w:numPr>
        <w:spacing w:before="40" w:after="40"/>
      </w:pPr>
      <w:r>
        <w:rPr>
          <w:rFonts w:ascii="Arial" w:hAnsi="Arial" w:eastAsia="Arial" w:cs="Arial"/>
          <w:sz w:val="22"/>
          <w:szCs w:val="22"/>
        </w:rPr>
        <w:t>Immediate (0–1 hour): Revoke all Firebase Auth sessions. Disable public write access to Firestore. Engage incident response team.</w:t>
      </w:r>
    </w:p>
    <w:p w14:paraId="321E24E4">
      <w:pPr>
        <w:pStyle w:val="16"/>
        <w:numPr>
          <w:ilvl w:val="0"/>
          <w:numId w:val="2"/>
        </w:numPr>
        <w:spacing w:before="40" w:after="40"/>
      </w:pPr>
      <w:r>
        <w:rPr>
          <w:rFonts w:ascii="Arial" w:hAnsi="Arial" w:eastAsia="Arial" w:cs="Arial"/>
          <w:sz w:val="22"/>
          <w:szCs w:val="22"/>
        </w:rPr>
        <w:t>Assessment (1–6 hours): Identify scope of breach — which collections, how many users, what data fields. Preserve Cloud Logging evidence.</w:t>
      </w:r>
    </w:p>
    <w:p w14:paraId="6064ED4C">
      <w:pPr>
        <w:pStyle w:val="16"/>
        <w:numPr>
          <w:ilvl w:val="0"/>
          <w:numId w:val="2"/>
        </w:numPr>
        <w:spacing w:before="40" w:after="40"/>
      </w:pPr>
      <w:r>
        <w:rPr>
          <w:rFonts w:ascii="Arial" w:hAnsi="Arial" w:eastAsia="Arial" w:cs="Arial"/>
          <w:sz w:val="22"/>
          <w:szCs w:val="22"/>
        </w:rPr>
        <w:t>Notification (6–72 hours): Notify DPBI (DPDP) or supervisory authority (GDPR) within 72 hours. Notify affected users within 7 days.</w:t>
      </w:r>
    </w:p>
    <w:p w14:paraId="56943AE4">
      <w:pPr>
        <w:pStyle w:val="16"/>
        <w:numPr>
          <w:ilvl w:val="0"/>
          <w:numId w:val="2"/>
        </w:numPr>
        <w:spacing w:before="40" w:after="40"/>
      </w:pPr>
      <w:r>
        <w:rPr>
          <w:rFonts w:ascii="Arial" w:hAnsi="Arial" w:eastAsia="Arial" w:cs="Arial"/>
          <w:sz w:val="22"/>
          <w:szCs w:val="22"/>
        </w:rPr>
        <w:t>Remediation: Patch vulnerability. Force password reset for all affected accounts. Offer 12 months free identity monitoring.</w:t>
      </w:r>
    </w:p>
    <w:p w14:paraId="502E6481">
      <w:pPr>
        <w:spacing w:before="0" w:after="200"/>
      </w:pPr>
    </w:p>
    <w:p w14:paraId="5F183C7D">
      <w:pPr>
        <w:pStyle w:val="3"/>
        <w:spacing w:before="300" w:after="120"/>
      </w:pPr>
      <w:r>
        <w:rPr>
          <w:rFonts w:ascii="Arial" w:hAnsi="Arial" w:eastAsia="Arial" w:cs="Arial"/>
          <w:b/>
          <w:bCs/>
          <w:color w:val="1B3A5C"/>
          <w:sz w:val="26"/>
          <w:szCs w:val="26"/>
        </w:rPr>
        <w:t>9.3 Legal Challenge Response (LR-01 materialises — C&amp;D received)</w:t>
      </w:r>
    </w:p>
    <w:p w14:paraId="0A7B7BCC">
      <w:pPr>
        <w:pStyle w:val="16"/>
        <w:numPr>
          <w:ilvl w:val="0"/>
          <w:numId w:val="2"/>
        </w:numPr>
        <w:spacing w:before="40" w:after="40"/>
      </w:pPr>
      <w:r>
        <w:rPr>
          <w:rFonts w:ascii="Arial" w:hAnsi="Arial" w:eastAsia="Arial" w:cs="Arial"/>
          <w:sz w:val="22"/>
          <w:szCs w:val="22"/>
        </w:rPr>
        <w:t>Immediate: Suspend all automation for the challenging platform. Forward C&amp;D to retained counsel within 2 hours of receipt.</w:t>
      </w:r>
    </w:p>
    <w:p w14:paraId="1D43661D">
      <w:pPr>
        <w:pStyle w:val="16"/>
        <w:numPr>
          <w:ilvl w:val="0"/>
          <w:numId w:val="2"/>
        </w:numPr>
        <w:spacing w:before="40" w:after="40"/>
      </w:pPr>
      <w:r>
        <w:rPr>
          <w:rFonts w:ascii="Arial" w:hAnsi="Arial" w:eastAsia="Arial" w:cs="Arial"/>
          <w:sz w:val="22"/>
          <w:szCs w:val="22"/>
        </w:rPr>
        <w:t>Legal assessment: Counsel evaluates enforceability of ToS, jurisdiction, and likelihood of injunction within 48 hours.</w:t>
      </w:r>
    </w:p>
    <w:p w14:paraId="78B9B047">
      <w:pPr>
        <w:pStyle w:val="16"/>
        <w:numPr>
          <w:ilvl w:val="0"/>
          <w:numId w:val="2"/>
        </w:numPr>
        <w:spacing w:before="40" w:after="40"/>
      </w:pPr>
      <w:r>
        <w:rPr>
          <w:rFonts w:ascii="Arial" w:hAnsi="Arial" w:eastAsia="Arial" w:cs="Arial"/>
          <w:sz w:val="22"/>
          <w:szCs w:val="22"/>
        </w:rPr>
        <w:t>Decision: If risk of injunction &gt;50%: permanently remove platform. Explore partnership path. If &lt;50%: continue with enhanced stealth and legal opinion documented.</w:t>
      </w:r>
    </w:p>
    <w:p w14:paraId="4249A953">
      <w:pPr>
        <w:pStyle w:val="16"/>
        <w:numPr>
          <w:ilvl w:val="0"/>
          <w:numId w:val="2"/>
        </w:numPr>
        <w:spacing w:before="40" w:after="40"/>
      </w:pPr>
      <w:r>
        <w:rPr>
          <w:rFonts w:ascii="Arial" w:hAnsi="Arial" w:eastAsia="Arial" w:cs="Arial"/>
          <w:sz w:val="22"/>
          <w:szCs w:val="22"/>
        </w:rPr>
        <w:t>User communication: Affected users notified of change to job sources. No admission of liability in any communication.</w:t>
      </w:r>
    </w:p>
    <w:p w14:paraId="15768F2F">
      <w:pPr>
        <w:spacing w:before="0" w:after="240"/>
      </w:pPr>
    </w:p>
    <w:p w14:paraId="2C928361">
      <w:pPr>
        <w:pStyle w:val="2"/>
        <w:spacing w:before="400" w:after="160"/>
        <w:rPr>
          <w:rFonts w:ascii="Arial" w:hAnsi="Arial" w:eastAsia="Arial" w:cs="Arial"/>
          <w:b/>
          <w:bCs/>
          <w:color w:val="0D1B2A"/>
          <w:sz w:val="32"/>
          <w:szCs w:val="32"/>
        </w:rPr>
      </w:pPr>
    </w:p>
    <w:p w14:paraId="0527CB48">
      <w:pPr>
        <w:pStyle w:val="2"/>
        <w:spacing w:before="400" w:after="160"/>
        <w:rPr>
          <w:rFonts w:ascii="Arial" w:hAnsi="Arial" w:eastAsia="Arial" w:cs="Arial"/>
          <w:b/>
          <w:bCs/>
          <w:color w:val="0D1B2A"/>
          <w:sz w:val="32"/>
          <w:szCs w:val="32"/>
        </w:rPr>
      </w:pPr>
    </w:p>
    <w:p w14:paraId="5958C870">
      <w:pPr>
        <w:pStyle w:val="2"/>
        <w:spacing w:before="400" w:after="160"/>
        <w:rPr>
          <w:rFonts w:ascii="Arial" w:hAnsi="Arial" w:eastAsia="Arial" w:cs="Arial"/>
          <w:b/>
          <w:bCs/>
          <w:color w:val="0D1B2A"/>
          <w:sz w:val="32"/>
          <w:szCs w:val="32"/>
        </w:rPr>
      </w:pPr>
    </w:p>
    <w:p w14:paraId="5EDCBCF7">
      <w:pPr>
        <w:pStyle w:val="2"/>
        <w:spacing w:before="400" w:after="160"/>
      </w:pPr>
      <w:bookmarkStart w:id="0" w:name="_GoBack"/>
      <w:bookmarkEnd w:id="0"/>
      <w:r>
        <w:rPr>
          <w:rFonts w:ascii="Arial" w:hAnsi="Arial" w:eastAsia="Arial" w:cs="Arial"/>
          <w:b/>
          <w:bCs/>
          <w:color w:val="0D1B2A"/>
          <w:sz w:val="32"/>
          <w:szCs w:val="32"/>
        </w:rPr>
        <w:t>10. Risk Review Cadence and Ownership</w:t>
      </w:r>
    </w:p>
    <w:p w14:paraId="7CC9C41A">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1800"/>
        <w:gridCol w:w="3560"/>
      </w:tblGrid>
      <w:tr w14:paraId="467D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A3F3892">
            <w:r>
              <w:rPr>
                <w:rFonts w:ascii="Arial" w:hAnsi="Arial" w:eastAsia="Arial" w:cs="Arial"/>
                <w:b/>
                <w:bCs/>
                <w:color w:val="FFFFFF"/>
                <w:sz w:val="20"/>
                <w:szCs w:val="20"/>
              </w:rPr>
              <w:t>Cadence</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EB264EA">
            <w:r>
              <w:rPr>
                <w:rFonts w:ascii="Arial" w:hAnsi="Arial" w:eastAsia="Arial" w:cs="Arial"/>
                <w:b/>
                <w:bCs/>
                <w:color w:val="FFFFFF"/>
                <w:sz w:val="20"/>
                <w:szCs w:val="20"/>
              </w:rPr>
              <w:t>Scope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DF21531">
            <w:r>
              <w:rPr>
                <w:rFonts w:ascii="Arial" w:hAnsi="Arial" w:eastAsia="Arial" w:cs="Arial"/>
                <w:b/>
                <w:bCs/>
                <w:color w:val="FFFFFF"/>
                <w:sz w:val="20"/>
                <w:szCs w:val="20"/>
              </w:rPr>
              <w:t>Owner</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AC41BAD">
            <w:r>
              <w:rPr>
                <w:rFonts w:ascii="Arial" w:hAnsi="Arial" w:eastAsia="Arial" w:cs="Arial"/>
                <w:b/>
                <w:bCs/>
                <w:color w:val="FFFFFF"/>
                <w:sz w:val="20"/>
                <w:szCs w:val="20"/>
              </w:rPr>
              <w:t>Output</w:t>
            </w:r>
          </w:p>
        </w:tc>
      </w:tr>
      <w:tr w14:paraId="28EE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C1B7E1">
            <w:r>
              <w:rPr>
                <w:rFonts w:ascii="Arial" w:hAnsi="Arial" w:eastAsia="Arial" w:cs="Arial"/>
                <w:color w:val="0D1B2A"/>
                <w:sz w:val="20"/>
                <w:szCs w:val="20"/>
              </w:rPr>
              <w:t>Weekly (Monday)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0B7AD6">
            <w:r>
              <w:rPr>
                <w:rFonts w:ascii="Arial" w:hAnsi="Arial" w:eastAsia="Arial" w:cs="Arial"/>
                <w:color w:val="0D1B2A"/>
                <w:sz w:val="20"/>
                <w:szCs w:val="20"/>
              </w:rPr>
              <w:t>Technical risk metrics: platform success rates, CAPTCHA failure rates, AI error rates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16C2F0">
            <w:r>
              <w:rPr>
                <w:rFonts w:ascii="Arial" w:hAnsi="Arial" w:eastAsia="Arial" w:cs="Arial"/>
                <w:color w:val="0D1B2A"/>
                <w:sz w:val="20"/>
                <w:szCs w:val="20"/>
              </w:rPr>
              <w:t>Engineering Lead</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19F427">
            <w:r>
              <w:rPr>
                <w:rFonts w:ascii="Arial" w:hAnsi="Arial" w:eastAsia="Arial" w:cs="Arial"/>
                <w:color w:val="0D1B2A"/>
                <w:sz w:val="20"/>
                <w:szCs w:val="20"/>
              </w:rPr>
              <w:t>Slack report to #engineering-risks</w:t>
            </w:r>
          </w:p>
        </w:tc>
      </w:tr>
      <w:tr w14:paraId="3B1B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B5A97D0">
            <w:r>
              <w:rPr>
                <w:rFonts w:ascii="Arial" w:hAnsi="Arial" w:eastAsia="Arial" w:cs="Arial"/>
                <w:color w:val="0D1B2A"/>
                <w:sz w:val="20"/>
                <w:szCs w:val="20"/>
              </w:rPr>
              <w:t>Monthly</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3CC4088">
            <w:r>
              <w:rPr>
                <w:rFonts w:ascii="Arial" w:hAnsi="Arial" w:eastAsia="Arial" w:cs="Arial"/>
                <w:color w:val="0D1B2A"/>
                <w:sz w:val="20"/>
                <w:szCs w:val="20"/>
              </w:rPr>
              <w:t>Full risk register review: update likelihood/impact ratings, check mitigation progress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7E90581">
            <w:r>
              <w:rPr>
                <w:rFonts w:ascii="Arial" w:hAnsi="Arial" w:eastAsia="Arial" w:cs="Arial"/>
                <w:color w:val="0D1B2A"/>
                <w:sz w:val="20"/>
                <w:szCs w:val="20"/>
              </w:rPr>
              <w:t>CTO + Product Lead</w:t>
            </w:r>
          </w:p>
        </w:tc>
        <w:tc>
          <w:tcPr>
            <w:tcW w:w="3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A474261">
            <w:r>
              <w:rPr>
                <w:rFonts w:ascii="Arial" w:hAnsi="Arial" w:eastAsia="Arial" w:cs="Arial"/>
                <w:color w:val="0D1B2A"/>
                <w:sz w:val="20"/>
                <w:szCs w:val="20"/>
              </w:rPr>
              <w:t>Updated risk register in Notion. Escalate any rating changes to board.</w:t>
            </w:r>
          </w:p>
        </w:tc>
      </w:tr>
      <w:tr w14:paraId="6D0A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576634">
            <w:r>
              <w:rPr>
                <w:rFonts w:ascii="Arial" w:hAnsi="Arial" w:eastAsia="Arial" w:cs="Arial"/>
                <w:color w:val="0D1B2A"/>
                <w:sz w:val="20"/>
                <w:szCs w:val="20"/>
              </w:rPr>
              <w:t>Quarterly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AED145">
            <w:r>
              <w:rPr>
                <w:rFonts w:ascii="Arial" w:hAnsi="Arial" w:eastAsia="Arial" w:cs="Arial"/>
                <w:color w:val="0D1B2A"/>
                <w:sz w:val="20"/>
                <w:szCs w:val="20"/>
              </w:rPr>
              <w:t>Ethics review: bias audit results, consent flow audit, recruiter spam metrics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3D8835">
            <w:r>
              <w:rPr>
                <w:rFonts w:ascii="Arial" w:hAnsi="Arial" w:eastAsia="Arial" w:cs="Arial"/>
                <w:color w:val="0D1B2A"/>
                <w:sz w:val="20"/>
                <w:szCs w:val="20"/>
              </w:rPr>
              <w:t>Product Lead + Legal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577B01">
            <w:r>
              <w:rPr>
                <w:rFonts w:ascii="Arial" w:hAnsi="Arial" w:eastAsia="Arial" w:cs="Arial"/>
                <w:color w:val="0D1B2A"/>
                <w:sz w:val="20"/>
                <w:szCs w:val="20"/>
              </w:rPr>
              <w:t>Ethics report published internally. External summary if material changes.</w:t>
            </w:r>
          </w:p>
        </w:tc>
      </w:tr>
      <w:tr w14:paraId="68AE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8449FB">
            <w:r>
              <w:rPr>
                <w:rFonts w:ascii="Arial" w:hAnsi="Arial" w:eastAsia="Arial" w:cs="Arial"/>
                <w:color w:val="0D1B2A"/>
                <w:sz w:val="20"/>
                <w:szCs w:val="20"/>
              </w:rPr>
              <w:t>At each funding round</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089FBB9">
            <w:r>
              <w:rPr>
                <w:rFonts w:ascii="Arial" w:hAnsi="Arial" w:eastAsia="Arial" w:cs="Arial"/>
                <w:color w:val="0D1B2A"/>
                <w:sz w:val="20"/>
                <w:szCs w:val="20"/>
              </w:rPr>
              <w:t>Legal risk matrix: new jurisdictions, regulatory changes, litigation landscape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0083C3F">
            <w:r>
              <w:rPr>
                <w:rFonts w:ascii="Arial" w:hAnsi="Arial" w:eastAsia="Arial" w:cs="Arial"/>
                <w:color w:val="0D1B2A"/>
                <w:sz w:val="20"/>
                <w:szCs w:val="20"/>
              </w:rPr>
              <w:t>Legal Counsel</w:t>
            </w:r>
          </w:p>
        </w:tc>
        <w:tc>
          <w:tcPr>
            <w:tcW w:w="3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1696B2">
            <w:r>
              <w:rPr>
                <w:rFonts w:ascii="Arial" w:hAnsi="Arial" w:eastAsia="Arial" w:cs="Arial"/>
                <w:color w:val="0D1B2A"/>
                <w:sz w:val="20"/>
                <w:szCs w:val="20"/>
              </w:rPr>
              <w:t>Updated legal opinion. Investor disclosure if required.</w:t>
            </w:r>
          </w:p>
        </w:tc>
      </w:tr>
      <w:tr w14:paraId="4C8E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6B0B55">
            <w:r>
              <w:rPr>
                <w:rFonts w:ascii="Arial" w:hAnsi="Arial" w:eastAsia="Arial" w:cs="Arial"/>
                <w:color w:val="0D1B2A"/>
                <w:sz w:val="20"/>
                <w:szCs w:val="20"/>
              </w:rPr>
              <w:t>At each major product release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5004FA">
            <w:r>
              <w:rPr>
                <w:rFonts w:ascii="Arial" w:hAnsi="Arial" w:eastAsia="Arial" w:cs="Arial"/>
                <w:color w:val="0D1B2A"/>
                <w:sz w:val="20"/>
                <w:szCs w:val="20"/>
              </w:rPr>
              <w:t>New feature risk assessment: any new feature requiring new data, new automation, or new integrations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5BDE10">
            <w:r>
              <w:rPr>
                <w:rFonts w:ascii="Arial" w:hAnsi="Arial" w:eastAsia="Arial" w:cs="Arial"/>
                <w:color w:val="0D1B2A"/>
                <w:sz w:val="20"/>
                <w:szCs w:val="20"/>
              </w:rPr>
              <w:t>Engineering + Product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DBF857">
            <w:r>
              <w:rPr>
                <w:rFonts w:ascii="Arial" w:hAnsi="Arial" w:eastAsia="Arial" w:cs="Arial"/>
                <w:color w:val="0D1B2A"/>
                <w:sz w:val="20"/>
                <w:szCs w:val="20"/>
              </w:rPr>
              <w:t>Risk assessment doc added to DOC-10 appendix before release.</w:t>
            </w:r>
          </w:p>
        </w:tc>
      </w:tr>
    </w:tbl>
    <w:p w14:paraId="166E2A8E">
      <w:pPr>
        <w:spacing w:before="0" w:after="240"/>
      </w:pPr>
    </w:p>
    <w:p w14:paraId="76CDD808">
      <w:pPr>
        <w:spacing w:before="400" w:after="200"/>
        <w:jc w:val="center"/>
      </w:pPr>
      <w:r>
        <w:rPr>
          <w:rFonts w:ascii="Arial" w:hAnsi="Arial" w:eastAsia="Arial" w:cs="Arial"/>
          <w:i/>
          <w:iCs/>
          <w:color w:val="1B3A5C"/>
          <w:sz w:val="20"/>
          <w:szCs w:val="20"/>
        </w:rPr>
        <w:t>— End of Document —</w:t>
      </w:r>
    </w:p>
    <w:p w14:paraId="0D6F99A4">
      <w:pPr>
        <w:spacing w:before="0" w:after="0"/>
        <w:jc w:val="center"/>
      </w:pPr>
      <w:r>
        <w:rPr>
          <w:rFonts w:ascii="Arial" w:hAnsi="Arial" w:eastAsia="Arial" w:cs="Arial"/>
          <w:color w:val="D0D8E4"/>
          <w:sz w:val="18"/>
          <w:szCs w:val="18"/>
        </w:rPr>
        <w:t>BENCH SALES · DOC-10 · Risks, Tradeoffs &amp; Ethics · v1.0 · CONFIDENTIAL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92B6E">
    <w:pPr>
      <w:pBdr>
        <w:top w:val="single" w:color="D0D8E4" w:sz="4" w:space="1"/>
      </w:pBdr>
      <w:tabs>
        <w:tab w:val="right" w:pos="9026"/>
      </w:tabs>
      <w:spacing w:before="80" w:after="0"/>
    </w:pPr>
    <w:r>
      <w:rPr>
        <w:rFonts w:ascii="Arial" w:hAnsi="Arial" w:eastAsia="Arial" w:cs="Arial"/>
        <w:color w:val="1B3A5C"/>
        <w:sz w:val="16"/>
        <w:szCs w:val="16"/>
      </w:rPr>
      <w:t>BENCHSALES_v1_DOC10_RisksTradeoffsEthics  ·  2026</w:t>
    </w:r>
    <w:r>
      <w:rPr>
        <w:rFonts w:ascii="Arial" w:hAnsi="Arial" w:eastAsia="Arial" w:cs="Arial"/>
        <w:sz w:val="16"/>
        <w:szCs w:val="16"/>
      </w:rPr>
      <w:tab/>
    </w:r>
    <w:r>
      <w:rPr>
        <w:rFonts w:ascii="Arial" w:hAnsi="Arial" w:eastAsia="Arial" w:cs="Arial"/>
        <w:color w:val="1B3A5C"/>
        <w:sz w:val="16"/>
        <w:szCs w:val="16"/>
      </w:rPr>
      <w:t xml:space="preserve">Page </w:t>
    </w:r>
    <w:r>
      <w:rPr>
        <w:rFonts w:ascii="Arial" w:hAnsi="Arial" w:eastAsia="Arial" w:cs="Arial"/>
        <w:color w:val="1B3A5C"/>
        <w:sz w:val="16"/>
        <w:szCs w:val="16"/>
      </w:rPr>
      <w:fldChar w:fldCharType="begin"/>
    </w:r>
    <w:r>
      <w:rPr>
        <w:rFonts w:ascii="Arial" w:hAnsi="Arial" w:eastAsia="Arial" w:cs="Arial"/>
        <w:color w:val="1B3A5C"/>
        <w:sz w:val="16"/>
        <w:szCs w:val="16"/>
      </w:rPr>
      <w:instrText xml:space="preserve">PAGE</w:instrText>
    </w:r>
    <w:r>
      <w:rPr>
        <w:rFonts w:ascii="Arial" w:hAnsi="Arial" w:eastAsia="Arial" w:cs="Arial"/>
        <w:color w:val="1B3A5C"/>
        <w:sz w:val="16"/>
        <w:szCs w:val="16"/>
      </w:rPr>
      <w:fldChar w:fldCharType="separate"/>
    </w:r>
    <w:r>
      <w:rPr>
        <w:rFonts w:ascii="Arial" w:hAnsi="Arial" w:eastAsia="Arial" w:cs="Arial"/>
        <w:color w:val="1B3A5C"/>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4830F">
    <w:pPr>
      <w:pBdr>
        <w:bottom w:val="single" w:color="2E75B6" w:sz="6" w:space="1"/>
      </w:pBdr>
      <w:tabs>
        <w:tab w:val="right" w:pos="9026"/>
      </w:tabs>
      <w:spacing w:before="0" w:after="80"/>
    </w:pPr>
    <w:r>
      <w:rPr>
        <w:rFonts w:ascii="Arial" w:hAnsi="Arial" w:eastAsia="Arial" w:cs="Arial"/>
        <w:color w:val="1B3A5C"/>
        <w:sz w:val="16"/>
        <w:szCs w:val="16"/>
      </w:rPr>
      <w:t>BENCH SALES  ·  DOC-10  ·  Risks, Tradeoffs &amp; Ethics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86C296"/>
    <w:multiLevelType w:val="multilevel"/>
    <w:tmpl w:val="5486C296"/>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687152EC"/>
    <w:multiLevelType w:val="singleLevel"/>
    <w:tmpl w:val="687152EC"/>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compat>
    <w:compatSetting w:name="compatibilityMode" w:uri="http://schemas.microsoft.com/office/word" w:val="15"/>
  </w:compat>
  <w:rsids>
    <w:rsidRoot w:val="00000000"/>
    <w:rsid w:val="688C39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0D1B2A"/>
      <w:sz w:val="32"/>
      <w:szCs w:val="32"/>
    </w:rPr>
  </w:style>
  <w:style w:type="paragraph" w:styleId="3">
    <w:name w:val="heading 2"/>
    <w:next w:val="1"/>
    <w:qFormat/>
    <w:uiPriority w:val="0"/>
    <w:pPr>
      <w:spacing w:before="300" w:after="120"/>
      <w:outlineLvl w:val="1"/>
    </w:pPr>
    <w:rPr>
      <w:rFonts w:ascii="Arial" w:hAnsi="Arial" w:eastAsia="Arial" w:cs="Arial"/>
      <w:b/>
      <w:bCs/>
      <w:color w:val="1B3A5C"/>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317</Words>
  <Characters>1762</Characters>
  <TotalTime>1</TotalTime>
  <ScaleCrop>false</ScaleCrop>
  <LinksUpToDate>false</LinksUpToDate>
  <CharactersWithSpaces>1970</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2026-04-01T08:06:00Z</dcterms:created>
  <dc:creator>Un-named</dc:creator>
  <cp:lastModifiedBy>Rishikumarvadada</cp:lastModifiedBy>
  <dcterms:modified xsi:type="dcterms:W3CDTF">2026-04-01T08:09:11Z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BA84507962A84B128A1E7738A2E2A9EE_12</vt:lpwstr>
  </property>
</Properties>
</file>