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ormato-acrispro---actividad-10"/>
    <w:p>
      <w:pPr>
        <w:pStyle w:val="Heading1"/>
      </w:pPr>
      <w:r>
        <w:t xml:space="preserve">Formato ACRISPRO - Actividad 10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Rubén Alfonso Gamboa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30 de mayo de 2026</w:t>
      </w:r>
      <w:r>
        <w:br/>
      </w:r>
      <w:r>
        <w:rPr>
          <w:b/>
          <w:bCs/>
        </w:rPr>
        <w:t xml:space="preserve">Identifica:</w:t>
      </w:r>
      <w:r>
        <w:t xml:space="preserve"> </w:t>
      </w:r>
      <w:r>
        <w:t xml:space="preserve">[ ] Cotidiano [x] Disciplinar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 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Plantea el problema (Pregunta problemática)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¿De qué manera se pueden reducir los errores de medición en sensores de glucosa no invasivos causados por el ruido de las bioseñales y las condiciones del paciente?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Plantea los datos (Datos blandos)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Los pacientes diabéticos necesitan métodos menos dolorosos para medirse el azúcar.[cite: 7]</w:t>
            </w:r>
            <w:r>
              <w:t xml:space="preserve">- A veces las lecturas de los sensores no invasivos fallan o son inexactas.</w:t>
            </w:r>
            <w:r>
              <w:t xml:space="preserve">- El sudor o los cambios de temperatura corporal parecen afectar el funcionamiento del aparato.[cite: 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Aparato Crítico (AC) de los datos duros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Investigaciones en ingeniería biomédica sobre el procesamiento de bioseñales. Documentación sobre la aplicación de Inteligencia Artificial y transformadas matemáticas (Fourier y Laplace) en el filtrado de ruido electrónico y biológico.[cite: 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Plantea los datos (Datos duros)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precisión de un sensor de glucosa no invasivo se ve directamente comprometida por variables particulares como la temperatura, el sudor y el ruido inherente a pequeñas bioseñales.[cite: 7] La falta de un software de calibración dinámica produce altos márgenes de error en la detección de los niveles reales de glucosa en sangre.[cite: 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DE SOLUCIÓN TENTATIVA 1 (Silogismo hipotético)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</w:t>
            </w:r>
            <w:r>
              <w:t xml:space="preserve"> </w:t>
            </w:r>
            <w:r>
              <w:t xml:space="preserve">aplicamos transformadas matemáticas (Fourier y Laplace) a las señales obtenidas,[cite: 7]</w:t>
            </w:r>
            <w:r>
              <w:t xml:space="preserve"> </w:t>
            </w:r>
            <w:r>
              <w:rPr>
                <w:b/>
                <w:bCs/>
              </w:rPr>
              <w:t xml:space="preserve">entonces</w:t>
            </w:r>
            <w:r>
              <w:t xml:space="preserve"> </w:t>
            </w:r>
            <w:r>
              <w:t xml:space="preserve">lograremos filtrar el ruido de las pequeñas bioseñales y del sensor.[cite: 7]</w:t>
            </w:r>
            <w:r>
              <w:t xml:space="preserve"> </w:t>
            </w:r>
            <w:r>
              <w:rPr>
                <w:b/>
                <w:bCs/>
              </w:rPr>
              <w:t xml:space="preserve">Si</w:t>
            </w:r>
            <w:r>
              <w:t xml:space="preserve"> </w:t>
            </w:r>
            <w:r>
              <w:t xml:space="preserve">filtramos correctamente el ruido, la precisión de las mediciones de glucosa mejorará.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DE SOLUCIÓN TENTATIVA 2 (Abductivo)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condiciones del paciente (como el sudor y la temperatura) introducen variables dinámicas que causan errores de medición.[cite: 7] La inteligencia artificial ha demostrado ser altamente eficaz para reconocer patrones y compensar variables dinámicas en tiempo real.[cite: 7] Por lo tanto, es probable que la integración de inteligencia artificial en el software mejore la calidad de los datos obtenidos.[cite: 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DE SOLUCIÓN TENTATIVA 3 (Explicación)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lograr dispositivos más cómodos, eficientes y confiables,[cite: 7] la solución radica en mejorar la calidad de los materiales físicos del sensor y, crucialmente, el software empleado.[cite: 7] Al utilizar algoritmos de Inteligencia Artificial combinados con transformadas de Fourier y Laplace,[cite: 7] el sistema será capaz de discriminar entre la señal biológica de la glucosa y el ruido externo,[cite: 7] mitigando los errores que afectan directamente la calidad de vida del paciente.[cite: 7]</w:t>
            </w:r>
          </w:p>
        </w:tc>
      </w:tr>
    </w:tbl>
    <w:p>
      <w:pPr>
        <w:pStyle w:val="BodyText"/>
      </w:pPr>
      <w:r>
        <w:rPr>
          <w:b/>
          <w:bCs/>
        </w:rPr>
        <w:t xml:space="preserve">Fuentes consultadas:</w:t>
      </w:r>
    </w:p>
    <w:p>
      <w:pPr>
        <w:pStyle w:val="Compact"/>
        <w:numPr>
          <w:ilvl w:val="0"/>
          <w:numId w:val="1001"/>
        </w:numPr>
      </w:pPr>
      <w:r>
        <w:t xml:space="preserve">Antonio, H. (2017).</w:t>
      </w:r>
      <w:r>
        <w:t xml:space="preserve"> </w:t>
      </w:r>
      <w:r>
        <w:rPr>
          <w:i/>
          <w:iCs/>
        </w:rPr>
        <w:t xml:space="preserve">Plantilla DICOP: Diagnóstico, Contexto y Planteamiento del Problema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2026-05-31T01:53:19Z</dcterms:created>
  <dcterms:modified xsi:type="dcterms:W3CDTF">2026-05-31T01:53:19Z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