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0F782" w14:textId="77777777" w:rsidR="004E123B" w:rsidRDefault="000773C4">
      <w:pPr>
        <w:spacing w:after="80"/>
      </w:pPr>
      <w:r>
        <w:rPr>
          <w:b/>
          <w:bCs/>
          <w:color w:val="1F4E79"/>
          <w:sz w:val="36"/>
          <w:szCs w:val="36"/>
        </w:rPr>
        <w:t>Note juridique</w:t>
      </w:r>
    </w:p>
    <w:p w14:paraId="12A42978" w14:textId="77777777" w:rsidR="004E123B" w:rsidRDefault="000773C4">
      <w:pPr>
        <w:spacing w:after="40"/>
      </w:pPr>
      <w:r>
        <w:rPr>
          <w:color w:val="2E75B6"/>
          <w:sz w:val="28"/>
          <w:szCs w:val="28"/>
        </w:rPr>
        <w:t>Dispositif CET / PERCOL — Intérimaires</w:t>
      </w:r>
    </w:p>
    <w:p w14:paraId="3ED7A228" w14:textId="77777777" w:rsidR="004E123B" w:rsidRDefault="000773C4">
      <w:pPr>
        <w:spacing w:after="320"/>
      </w:pPr>
      <w:r>
        <w:rPr>
          <w:i/>
          <w:iCs/>
          <w:color w:val="666666"/>
        </w:rPr>
        <w:t>Réponses aux questions de M. Comas</w:t>
      </w:r>
    </w:p>
    <w:p w14:paraId="7174AFE5" w14:textId="77777777" w:rsidR="004E123B" w:rsidRDefault="004E123B">
      <w:pPr>
        <w:pBdr>
          <w:bottom w:val="single" w:sz="4" w:space="1" w:color="B8CCE4"/>
        </w:pBdr>
        <w:spacing w:before="200" w:after="200"/>
      </w:pPr>
    </w:p>
    <w:p w14:paraId="248CDC74" w14:textId="77777777" w:rsidR="004E123B" w:rsidRDefault="000773C4">
      <w:pPr>
        <w:pStyle w:val="Titre1"/>
      </w:pPr>
      <w:r>
        <w:t>1. Plafond d'exonération de cotisations sociales lors du transfert CET → PERCOL</w:t>
      </w:r>
    </w:p>
    <w:p w14:paraId="4AF21625" w14:textId="77777777" w:rsidR="004E123B" w:rsidRDefault="004E123B">
      <w:pPr>
        <w:spacing w:before="80"/>
      </w:pPr>
    </w:p>
    <w:p w14:paraId="444878A3" w14:textId="77777777" w:rsidR="004E123B" w:rsidRDefault="000773C4">
      <w:pPr>
        <w:pStyle w:val="Titre2"/>
      </w:pPr>
      <w:r>
        <w:t>1.a – Confirmation du calcul et applicabilité aux intérimaires</w:t>
      </w:r>
    </w:p>
    <w:p w14:paraId="2B48CDF9" w14:textId="77777777" w:rsidR="004E123B" w:rsidRDefault="000773C4">
      <w:pPr>
        <w:spacing w:before="80" w:after="80"/>
      </w:pPr>
      <w:r>
        <w:t>La méthode de conversion retenue est la suivante :</w:t>
      </w:r>
    </w:p>
    <w:p w14:paraId="23128B3F" w14:textId="77777777" w:rsidR="004E123B" w:rsidRDefault="004E123B">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E123B" w14:paraId="2D6F18A5"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BF3FB"/>
            <w:tcMar>
              <w:top w:w="100" w:type="dxa"/>
              <w:left w:w="180" w:type="dxa"/>
              <w:bottom w:w="100" w:type="dxa"/>
              <w:right w:w="180" w:type="dxa"/>
            </w:tcMar>
          </w:tcPr>
          <w:p w14:paraId="1974B5CC" w14:textId="77777777" w:rsidR="004E123B" w:rsidRDefault="000773C4">
            <w:pPr>
              <w:spacing w:before="40" w:after="40"/>
            </w:pPr>
            <w:r>
              <w:t>Montant CET ÷ taux horaire de la dernière mission = nombre de jours équivalents Plafond : 10 jours/an × 7 heures/jour, soit environ 1 960 €/an pour un taux de 28 €/h</w:t>
            </w:r>
          </w:p>
        </w:tc>
      </w:tr>
    </w:tbl>
    <w:p w14:paraId="1A113B00" w14:textId="77777777" w:rsidR="004E123B" w:rsidRDefault="004E123B">
      <w:pPr>
        <w:spacing w:before="80"/>
      </w:pPr>
    </w:p>
    <w:p w14:paraId="2211264D" w14:textId="77777777" w:rsidR="004E123B" w:rsidRDefault="000773C4">
      <w:pPr>
        <w:spacing w:before="80" w:after="80"/>
      </w:pPr>
      <w:r>
        <w:t>✔</w:t>
      </w:r>
      <w:r>
        <w:t xml:space="preserve">  Ce calcul est confirmé. Le plafond de 10 jours/an s'applique bien aux intérimaires via cette méthode de conversion.</w:t>
      </w:r>
    </w:p>
    <w:p w14:paraId="06F70D66" w14:textId="77777777" w:rsidR="004E123B" w:rsidRDefault="004E123B">
      <w:pPr>
        <w:spacing w:before="120"/>
      </w:pPr>
    </w:p>
    <w:p w14:paraId="4EC9C916" w14:textId="77777777" w:rsidR="004E123B" w:rsidRDefault="000773C4">
      <w:pPr>
        <w:pStyle w:val="Titre2"/>
      </w:pPr>
      <w:r>
        <w:t>1.b – Régime social et fiscal de la fraction excédentaire</w:t>
      </w:r>
    </w:p>
    <w:p w14:paraId="2E343253" w14:textId="77777777" w:rsidR="004E123B" w:rsidRDefault="000773C4">
      <w:pPr>
        <w:spacing w:before="80" w:after="80"/>
      </w:pPr>
      <w:r>
        <w:t>Pour la part transférée au-delà du plafond de 10 jours/an :</w:t>
      </w:r>
    </w:p>
    <w:p w14:paraId="237B721F" w14:textId="77777777" w:rsidR="004E123B" w:rsidRDefault="004E123B">
      <w:pPr>
        <w:spacing w:before="60"/>
      </w:pPr>
    </w:p>
    <w:p w14:paraId="51D5CC2D" w14:textId="77777777" w:rsidR="004E123B" w:rsidRDefault="000773C4">
      <w:pPr>
        <w:pStyle w:val="Paragraphedeliste"/>
        <w:numPr>
          <w:ilvl w:val="0"/>
          <w:numId w:val="2"/>
        </w:numPr>
        <w:spacing w:before="60" w:after="60"/>
      </w:pPr>
      <w:r>
        <w:t>Régime social : cotisations de sécurité sociale complètes (parts patronale et salariale) + CSG/CRDS.</w:t>
      </w:r>
    </w:p>
    <w:p w14:paraId="1206CE0A" w14:textId="77777777" w:rsidR="004E123B" w:rsidRDefault="000773C4">
      <w:pPr>
        <w:pStyle w:val="Paragraphedeliste"/>
        <w:numPr>
          <w:ilvl w:val="0"/>
          <w:numId w:val="2"/>
        </w:numPr>
        <w:spacing w:before="60" w:after="60"/>
      </w:pPr>
      <w:r>
        <w:t>Régime fiscal : la part excédentaire est imposable au titre de l'impôt sur le revenu (traitement et salaire). Le plafond fiscal suit exactement le plafond social.</w:t>
      </w:r>
    </w:p>
    <w:p w14:paraId="2A1B1A7E" w14:textId="77777777" w:rsidR="004E123B" w:rsidRDefault="004E123B">
      <w:pPr>
        <w:spacing w:before="60"/>
      </w:pPr>
    </w:p>
    <w:p w14:paraId="6CD42AD6" w14:textId="77777777" w:rsidR="004E123B" w:rsidRDefault="000773C4">
      <w:pPr>
        <w:spacing w:before="60" w:after="60"/>
        <w:ind w:left="360"/>
      </w:pPr>
      <w:r>
        <w:rPr>
          <w:i/>
          <w:iCs/>
          <w:color w:val="666666"/>
          <w:sz w:val="20"/>
          <w:szCs w:val="20"/>
        </w:rPr>
        <w:t>En résumé : la fraction ≤ 10 jours/an est exonérée d'IR et de cotisations SS ; la fraction &gt; 10 jours/an est soumise au régime social et fiscal de droit commun.</w:t>
      </w:r>
    </w:p>
    <w:p w14:paraId="227C567F" w14:textId="77777777" w:rsidR="004E123B" w:rsidRDefault="004E123B">
      <w:pPr>
        <w:pBdr>
          <w:bottom w:val="single" w:sz="4" w:space="1" w:color="B8CCE4"/>
        </w:pBdr>
        <w:spacing w:before="200" w:after="200"/>
      </w:pPr>
    </w:p>
    <w:p w14:paraId="170EF844" w14:textId="77777777" w:rsidR="004E123B" w:rsidRDefault="000773C4">
      <w:pPr>
        <w:pStyle w:val="Titre1"/>
      </w:pPr>
      <w:r>
        <w:t>2. Rendement capitalisé servi par l'ETT sur le CET</w:t>
      </w:r>
    </w:p>
    <w:p w14:paraId="34571009" w14:textId="77777777" w:rsidR="004E123B" w:rsidRDefault="004E123B">
      <w:pPr>
        <w:spacing w:before="80"/>
      </w:pPr>
    </w:p>
    <w:p w14:paraId="0B0F001D" w14:textId="77777777" w:rsidR="004E123B" w:rsidRDefault="000773C4">
      <w:pPr>
        <w:pStyle w:val="Titre2"/>
      </w:pPr>
      <w:r>
        <w:t>2.a – Sort du rendement capitalisé lors du transfert vers le PERCOL</w:t>
      </w:r>
    </w:p>
    <w:p w14:paraId="59842004" w14:textId="77777777" w:rsidR="004E123B" w:rsidRDefault="000773C4">
      <w:pPr>
        <w:spacing w:before="80" w:after="80"/>
      </w:pPr>
      <w:r>
        <w:t>Le sort du rendement capitalisé dépend de la volonté du salarié :</w:t>
      </w:r>
    </w:p>
    <w:p w14:paraId="3CCD1E3B" w14:textId="77777777" w:rsidR="004E123B" w:rsidRDefault="004E123B">
      <w:pPr>
        <w:spacing w:before="60"/>
      </w:pPr>
    </w:p>
    <w:p w14:paraId="240DA30A" w14:textId="77777777" w:rsidR="004E123B" w:rsidRDefault="000773C4">
      <w:pPr>
        <w:pStyle w:val="Paragraphedeliste"/>
        <w:numPr>
          <w:ilvl w:val="0"/>
          <w:numId w:val="2"/>
        </w:numPr>
        <w:spacing w:before="60" w:after="60"/>
      </w:pPr>
      <w:r>
        <w:t>Option 1 : le rendement capitalisé est transféré avec le principal vers le PERCOL.</w:t>
      </w:r>
    </w:p>
    <w:p w14:paraId="3A3475CC" w14:textId="77777777" w:rsidR="004E123B" w:rsidRDefault="000773C4">
      <w:pPr>
        <w:pStyle w:val="Paragraphedeliste"/>
        <w:numPr>
          <w:ilvl w:val="0"/>
          <w:numId w:val="2"/>
        </w:numPr>
        <w:spacing w:before="60" w:after="60"/>
      </w:pPr>
      <w:r>
        <w:t>Option 2 : le salarié choisit de percevoir directement le rendement capitalisé, sans transfert vers le PERCOL.</w:t>
      </w:r>
    </w:p>
    <w:p w14:paraId="0997F1AC" w14:textId="77777777" w:rsidR="004E123B" w:rsidRDefault="004E123B">
      <w:pPr>
        <w:spacing w:before="60"/>
      </w:pPr>
    </w:p>
    <w:p w14:paraId="251F0FCE" w14:textId="77777777" w:rsidR="004E123B" w:rsidRDefault="000773C4">
      <w:pPr>
        <w:spacing w:before="60" w:after="60"/>
        <w:ind w:left="360"/>
      </w:pPr>
      <w:r>
        <w:rPr>
          <w:i/>
          <w:iCs/>
          <w:color w:val="666666"/>
          <w:sz w:val="20"/>
          <w:szCs w:val="20"/>
        </w:rPr>
        <w:t>Il convient donc d'informer les intérimaires de cette faculté de choix au moment du transfert.</w:t>
      </w:r>
    </w:p>
    <w:p w14:paraId="33AE0DC8" w14:textId="77777777" w:rsidR="004E123B" w:rsidRDefault="004E123B">
      <w:pPr>
        <w:spacing w:before="120"/>
      </w:pPr>
    </w:p>
    <w:p w14:paraId="3753711F" w14:textId="77777777" w:rsidR="004E123B" w:rsidRDefault="000773C4">
      <w:pPr>
        <w:pStyle w:val="Titre2"/>
      </w:pPr>
      <w:r>
        <w:t>2.b – Imputation du rendement capitalisé sur le plafond de 10 jours</w:t>
      </w:r>
    </w:p>
    <w:p w14:paraId="17278656" w14:textId="77777777" w:rsidR="004E123B" w:rsidRDefault="000773C4">
      <w:pPr>
        <w:spacing w:before="80" w:after="80"/>
      </w:pPr>
      <w:r>
        <w:t>Le rendement capitalisé ne s'impute pas sur le plafond de 10 jours.</w:t>
      </w:r>
    </w:p>
    <w:p w14:paraId="62593D13" w14:textId="77777777" w:rsidR="004E123B" w:rsidRDefault="004E123B">
      <w:pPr>
        <w:spacing w:before="60"/>
      </w:pPr>
    </w:p>
    <w:p w14:paraId="1488E5B6" w14:textId="77777777" w:rsidR="004E123B" w:rsidRDefault="000773C4">
      <w:pPr>
        <w:spacing w:before="80" w:after="80"/>
      </w:pPr>
      <w:r>
        <w:t>Explication : l'exonération de cotisations sociales (part salariale et patronale) ne bénéficie qu'aux droits issus de versements du salarié. Le rendement capitalisé constitue un abondement employeur et est, à ce titre, soumis au régime social classique, indépendamment du plafond de 10 jours.</w:t>
      </w:r>
    </w:p>
    <w:p w14:paraId="62E1287E" w14:textId="77777777" w:rsidR="004E123B" w:rsidRDefault="004E123B">
      <w:pPr>
        <w:spacing w:before="120"/>
      </w:pPr>
    </w:p>
    <w:p w14:paraId="72DB5E82" w14:textId="77777777" w:rsidR="004E123B" w:rsidRDefault="000773C4">
      <w:pPr>
        <w:pStyle w:val="Titre2"/>
      </w:pPr>
      <w:r>
        <w:t>2.c – Obligation de rendement après transfert dans le PERCOL</w:t>
      </w:r>
    </w:p>
    <w:p w14:paraId="64C5A147" w14:textId="77777777" w:rsidR="004E123B" w:rsidRDefault="000773C4">
      <w:pPr>
        <w:spacing w:before="80" w:after="80"/>
      </w:pPr>
      <w:r>
        <w:t>Une fois les fonds transférés dans le PERCOL, l'ETT n'a plus aucune obligation de rendement sur ces sommes.</w:t>
      </w:r>
    </w:p>
    <w:p w14:paraId="0CC90AF8" w14:textId="77777777" w:rsidR="004E123B" w:rsidRDefault="004E123B">
      <w:pPr>
        <w:spacing w:before="60"/>
      </w:pPr>
    </w:p>
    <w:p w14:paraId="17B68E55" w14:textId="77777777" w:rsidR="004E123B" w:rsidRDefault="000773C4">
      <w:pPr>
        <w:spacing w:before="80" w:after="80"/>
      </w:pPr>
      <w:r>
        <w:t>Le relais est exclusivement pris par le gestionnaire du plan d'épargne retraite. L'abondement employeur (rendement) ne concerne que la phase de détention CET.</w:t>
      </w:r>
    </w:p>
    <w:p w14:paraId="517F1C3C" w14:textId="77777777" w:rsidR="004E123B" w:rsidRDefault="004E123B">
      <w:pPr>
        <w:pBdr>
          <w:bottom w:val="single" w:sz="4" w:space="1" w:color="B8CCE4"/>
        </w:pBdr>
        <w:spacing w:before="200" w:after="200"/>
      </w:pPr>
    </w:p>
    <w:p w14:paraId="146AFCF8" w14:textId="77777777" w:rsidR="004E123B" w:rsidRDefault="000773C4">
      <w:pPr>
        <w:pStyle w:val="Titre1"/>
      </w:pPr>
      <w:r>
        <w:t>3. Régime fiscal et social — Précisions pour les intérimaires seniors</w:t>
      </w:r>
    </w:p>
    <w:p w14:paraId="67778165" w14:textId="77777777" w:rsidR="004E123B" w:rsidRDefault="004E123B">
      <w:pPr>
        <w:spacing w:before="80"/>
      </w:pPr>
    </w:p>
    <w:p w14:paraId="6EABEE95" w14:textId="77777777" w:rsidR="004E123B" w:rsidRDefault="000773C4">
      <w:pPr>
        <w:pStyle w:val="Titre2"/>
      </w:pPr>
      <w:r>
        <w:t>3.a – Alignement du plafond fiscal sur le plafond social</w:t>
      </w:r>
    </w:p>
    <w:p w14:paraId="54ECC3BD" w14:textId="77777777" w:rsidR="004E123B" w:rsidRDefault="000773C4">
      <w:pPr>
        <w:spacing w:before="80" w:after="80"/>
      </w:pPr>
      <w:r>
        <w:t>L'exonération d'IR suit exactement le même plafond que l'exonération de cotisations sociales :</w:t>
      </w:r>
    </w:p>
    <w:p w14:paraId="1A1DFC02" w14:textId="77777777" w:rsidR="004E123B" w:rsidRDefault="004E123B">
      <w:pPr>
        <w:spacing w:before="60"/>
      </w:pPr>
    </w:p>
    <w:p w14:paraId="0B59A41C" w14:textId="77777777" w:rsidR="004E123B" w:rsidRDefault="000773C4">
      <w:pPr>
        <w:pStyle w:val="Paragraphedeliste"/>
        <w:numPr>
          <w:ilvl w:val="0"/>
          <w:numId w:val="2"/>
        </w:numPr>
        <w:spacing w:before="60" w:after="60"/>
      </w:pPr>
      <w:r>
        <w:t>Part ≤ 10 jours/an → exonérée d'IR.</w:t>
      </w:r>
    </w:p>
    <w:p w14:paraId="08F96F50" w14:textId="77777777" w:rsidR="004E123B" w:rsidRDefault="000773C4">
      <w:pPr>
        <w:pStyle w:val="Paragraphedeliste"/>
        <w:numPr>
          <w:ilvl w:val="0"/>
          <w:numId w:val="2"/>
        </w:numPr>
        <w:spacing w:before="60" w:after="60"/>
      </w:pPr>
      <w:r>
        <w:t>Part &gt; 10 jours/an → imposable comme traitements et salaires.</w:t>
      </w:r>
    </w:p>
    <w:p w14:paraId="642FF8D2" w14:textId="77777777" w:rsidR="004E123B" w:rsidRDefault="004E123B">
      <w:pPr>
        <w:spacing w:before="60"/>
      </w:pPr>
    </w:p>
    <w:p w14:paraId="1F69894D" w14:textId="77777777" w:rsidR="004E123B" w:rsidRDefault="000773C4">
      <w:pPr>
        <w:spacing w:before="60" w:after="60"/>
        <w:ind w:left="360"/>
      </w:pPr>
      <w:r>
        <w:rPr>
          <w:i/>
          <w:iCs/>
          <w:color w:val="666666"/>
          <w:sz w:val="20"/>
          <w:szCs w:val="20"/>
        </w:rPr>
        <w:t>Il n'existe pas de plafond fiscal autonome : les deux régimes sont strictement alignés.</w:t>
      </w:r>
    </w:p>
    <w:p w14:paraId="2EC50FDD" w14:textId="77777777" w:rsidR="004E123B" w:rsidRDefault="004E123B">
      <w:pPr>
        <w:spacing w:before="120"/>
      </w:pPr>
    </w:p>
    <w:p w14:paraId="58FE504C" w14:textId="77777777" w:rsidR="004E123B" w:rsidRDefault="000773C4">
      <w:pPr>
        <w:pStyle w:val="Titre2"/>
      </w:pPr>
      <w:r>
        <w:t>3.b – Prélèvements sociaux à la sortie retraite du PERCOL</w:t>
      </w:r>
    </w:p>
    <w:p w14:paraId="2F5B6A99" w14:textId="77777777" w:rsidR="004E123B" w:rsidRDefault="000773C4">
      <w:pPr>
        <w:spacing w:before="80" w:after="80"/>
      </w:pPr>
      <w:r>
        <w:t>À la retraite, les prélèvements sociaux portent uniquement sur les gains générés dans le PERCOL, et non sur le capital issu du transfert CET.</w:t>
      </w:r>
    </w:p>
    <w:p w14:paraId="61153424" w14:textId="77777777" w:rsidR="004E123B" w:rsidRDefault="004E123B">
      <w:pPr>
        <w:spacing w:before="60"/>
      </w:pPr>
    </w:p>
    <w:p w14:paraId="057E2AA3" w14:textId="77777777" w:rsidR="004E123B" w:rsidRDefault="000773C4">
      <w:pPr>
        <w:spacing w:before="80" w:after="80"/>
      </w:pPr>
      <w:r>
        <w:t>Justification : au moment du transfert CET → PERCOL, le capital a déjà fait l'objet de son traitement social et fiscal (exonéré ou imposé selon le dépassement du plafond). À la sortie retraite, ce capital n'est plus soumis aux prélèvements sociaux.</w:t>
      </w:r>
    </w:p>
    <w:p w14:paraId="543675B9" w14:textId="77777777" w:rsidR="004E123B" w:rsidRDefault="004E123B">
      <w:pPr>
        <w:spacing w:before="120"/>
      </w:pPr>
    </w:p>
    <w:p w14:paraId="484F1120" w14:textId="77777777" w:rsidR="004E123B" w:rsidRDefault="000773C4">
      <w:pPr>
        <w:pStyle w:val="Titre2"/>
      </w:pPr>
      <w:r>
        <w:t>3.c – Contraintes juridiques à communiquer aux intérimaires seniors</w:t>
      </w:r>
    </w:p>
    <w:p w14:paraId="1C50C714" w14:textId="77777777" w:rsidR="004E123B" w:rsidRDefault="000773C4">
      <w:pPr>
        <w:spacing w:before="80" w:after="80"/>
      </w:pPr>
      <w:r>
        <w:t>Cas de déblocage anticipé autorisés pour un PER/PERCOL :</w:t>
      </w:r>
    </w:p>
    <w:p w14:paraId="61F2048F" w14:textId="77777777" w:rsidR="004E123B" w:rsidRDefault="004E123B">
      <w:pPr>
        <w:spacing w:before="60"/>
      </w:pPr>
    </w:p>
    <w:p w14:paraId="1CA5C7EE" w14:textId="77777777" w:rsidR="004E123B" w:rsidRDefault="000773C4">
      <w:pPr>
        <w:pStyle w:val="Paragraphedeliste"/>
        <w:numPr>
          <w:ilvl w:val="0"/>
          <w:numId w:val="2"/>
        </w:numPr>
        <w:spacing w:before="60" w:after="60"/>
      </w:pPr>
      <w:r>
        <w:lastRenderedPageBreak/>
        <w:t>Invalidité du titulaire, de son conjoint ou partenaire de PACS.</w:t>
      </w:r>
    </w:p>
    <w:p w14:paraId="1EF3B11B" w14:textId="77777777" w:rsidR="004E123B" w:rsidRDefault="000773C4">
      <w:pPr>
        <w:pStyle w:val="Paragraphedeliste"/>
        <w:numPr>
          <w:ilvl w:val="0"/>
          <w:numId w:val="2"/>
        </w:numPr>
        <w:spacing w:before="60" w:after="60"/>
      </w:pPr>
      <w:r>
        <w:t>Décès du conjoint ou partenaire de PACS.</w:t>
      </w:r>
    </w:p>
    <w:p w14:paraId="05DE22C4" w14:textId="77777777" w:rsidR="004E123B" w:rsidRDefault="000773C4">
      <w:pPr>
        <w:pStyle w:val="Paragraphedeliste"/>
        <w:numPr>
          <w:ilvl w:val="0"/>
          <w:numId w:val="2"/>
        </w:numPr>
        <w:spacing w:before="60" w:after="60"/>
      </w:pPr>
      <w:r>
        <w:t>Expiration des droits à l'assurance chômage.</w:t>
      </w:r>
    </w:p>
    <w:p w14:paraId="35E87765" w14:textId="77777777" w:rsidR="004E123B" w:rsidRDefault="000773C4">
      <w:pPr>
        <w:pStyle w:val="Paragraphedeliste"/>
        <w:numPr>
          <w:ilvl w:val="0"/>
          <w:numId w:val="2"/>
        </w:numPr>
        <w:spacing w:before="60" w:after="60"/>
      </w:pPr>
      <w:r>
        <w:t>Situation de surendettement.</w:t>
      </w:r>
    </w:p>
    <w:p w14:paraId="32392E64" w14:textId="77777777" w:rsidR="004E123B" w:rsidRDefault="000773C4">
      <w:pPr>
        <w:pStyle w:val="Paragraphedeliste"/>
        <w:numPr>
          <w:ilvl w:val="0"/>
          <w:numId w:val="2"/>
        </w:numPr>
        <w:spacing w:before="60" w:after="60"/>
      </w:pPr>
      <w:r>
        <w:t>Cessation d'activité non salariée à la suite d'un jugement de liquidation judiciaire.</w:t>
      </w:r>
    </w:p>
    <w:p w14:paraId="56B57DDB" w14:textId="77777777" w:rsidR="004E123B" w:rsidRDefault="000773C4">
      <w:pPr>
        <w:pStyle w:val="Paragraphedeliste"/>
        <w:numPr>
          <w:ilvl w:val="0"/>
          <w:numId w:val="2"/>
        </w:numPr>
        <w:spacing w:before="60" w:after="60"/>
      </w:pPr>
      <w:r>
        <w:t>Acquisition de la résidence principale (pour certains droits).</w:t>
      </w:r>
    </w:p>
    <w:p w14:paraId="0BAA17FF" w14:textId="77777777" w:rsidR="004E123B" w:rsidRDefault="004E123B">
      <w:pPr>
        <w:spacing w:before="100"/>
      </w:pPr>
    </w:p>
    <w:p w14:paraId="17675886" w14:textId="77777777" w:rsidR="004E123B" w:rsidRDefault="000773C4">
      <w:pPr>
        <w:spacing w:before="80" w:after="80"/>
      </w:pPr>
      <w:r>
        <w:t>Régime fiscal des sorties anticipées :</w:t>
      </w:r>
    </w:p>
    <w:p w14:paraId="72BBB9B5" w14:textId="77777777" w:rsidR="004E123B" w:rsidRDefault="004E123B">
      <w:pPr>
        <w:spacing w:before="60"/>
      </w:pPr>
    </w:p>
    <w:p w14:paraId="26D05B54" w14:textId="77777777" w:rsidR="004E123B" w:rsidRDefault="000773C4">
      <w:pPr>
        <w:pStyle w:val="Paragraphedeliste"/>
        <w:numPr>
          <w:ilvl w:val="0"/>
          <w:numId w:val="2"/>
        </w:numPr>
        <w:spacing w:before="60" w:after="60"/>
      </w:pPr>
      <w:r>
        <w:t>Sortie anticipée pour accident de la vie : capital exonéré d'IR ; produits imposés à 12,8 % + prélèvements sociaux.</w:t>
      </w:r>
    </w:p>
    <w:p w14:paraId="224C61AF" w14:textId="77777777" w:rsidR="004E123B" w:rsidRDefault="000773C4">
      <w:pPr>
        <w:pStyle w:val="Paragraphedeliste"/>
        <w:numPr>
          <w:ilvl w:val="0"/>
          <w:numId w:val="2"/>
        </w:numPr>
        <w:spacing w:before="60" w:after="60"/>
      </w:pPr>
      <w:r>
        <w:t>Sortie anticipée pour acquisition de la résidence principale : les versements issus de l'épargne salariale sont exonérés d'IR ; seuls les produits sont imposés.</w:t>
      </w:r>
    </w:p>
    <w:p w14:paraId="674C4AF1" w14:textId="77777777" w:rsidR="004E123B" w:rsidRDefault="004E123B">
      <w:pPr>
        <w:spacing w:before="100"/>
      </w:pPr>
    </w:p>
    <w:p w14:paraId="74E3ED9E" w14:textId="77777777" w:rsidR="004E123B" w:rsidRDefault="000773C4">
      <w:pPr>
        <w:spacing w:before="80" w:after="80"/>
      </w:pPr>
      <w:r>
        <w:t>Points d'attention spécifiques pour les intérimaires proches de la retraite :</w:t>
      </w:r>
    </w:p>
    <w:p w14:paraId="671FC014" w14:textId="77777777" w:rsidR="004E123B" w:rsidRDefault="004E123B">
      <w:pPr>
        <w:spacing w:before="60"/>
      </w:pPr>
    </w:p>
    <w:p w14:paraId="4818BEDE" w14:textId="77777777" w:rsidR="004E123B" w:rsidRDefault="000773C4">
      <w:pPr>
        <w:pStyle w:val="Paragraphedeliste"/>
        <w:numPr>
          <w:ilvl w:val="0"/>
          <w:numId w:val="2"/>
        </w:numPr>
        <w:spacing w:before="60" w:after="60"/>
      </w:pPr>
      <w:r>
        <w:t>Les sommes sont en principe indisponibles jusqu'à la liquidation de la retraite (sauf cas de déblocage anticipé listés ci-dessus). Il n'existe pas de durée minimale de détention au-delà de cette indisponibilité structurelle.</w:t>
      </w:r>
    </w:p>
    <w:p w14:paraId="785F314C" w14:textId="77777777" w:rsidR="004E123B" w:rsidRDefault="000773C4">
      <w:pPr>
        <w:pStyle w:val="Paragraphedeliste"/>
        <w:numPr>
          <w:ilvl w:val="0"/>
          <w:numId w:val="2"/>
        </w:numPr>
        <w:spacing w:before="60" w:after="60"/>
      </w:pPr>
      <w:r>
        <w:t>Le capital correspondant aux droits CET transférés (exonéré ou imposé à l'entrée) sera exonéré d'IR à la sortie retraite ; seuls les produits (plus-values) sont imposés et soumis aux prélèvements sociaux.</w:t>
      </w:r>
    </w:p>
    <w:p w14:paraId="76F32AF7" w14:textId="77777777" w:rsidR="004E123B" w:rsidRDefault="000773C4">
      <w:pPr>
        <w:pStyle w:val="Paragraphedeliste"/>
        <w:numPr>
          <w:ilvl w:val="0"/>
          <w:numId w:val="2"/>
        </w:numPr>
        <w:spacing w:before="60" w:after="60"/>
      </w:pPr>
      <w:r>
        <w:t>Trois modalités de sortie sont possibles : en capital, en rente, ou de façon panachée, chacune avec un régime fiscal distinct à préciser dans les supports d'information.</w:t>
      </w:r>
    </w:p>
    <w:p w14:paraId="69C43765" w14:textId="77777777" w:rsidR="004E123B" w:rsidRDefault="004E123B">
      <w:pPr>
        <w:pBdr>
          <w:bottom w:val="single" w:sz="4" w:space="1" w:color="B8CCE4"/>
        </w:pBdr>
        <w:spacing w:before="200" w:after="200"/>
      </w:pPr>
    </w:p>
    <w:p w14:paraId="278E0CA9" w14:textId="77777777" w:rsidR="004E123B" w:rsidRDefault="000773C4">
      <w:pPr>
        <w:pStyle w:val="Titre1"/>
      </w:pPr>
      <w:r>
        <w:t>4. Clause de révision ponctuelle des taux de rendement</w:t>
      </w:r>
    </w:p>
    <w:p w14:paraId="0F88899D" w14:textId="77777777" w:rsidR="004E123B" w:rsidRDefault="004E123B">
      <w:pPr>
        <w:spacing w:before="80"/>
      </w:pPr>
    </w:p>
    <w:p w14:paraId="0413F3D3" w14:textId="77777777" w:rsidR="004E123B" w:rsidRDefault="000773C4">
      <w:pPr>
        <w:pStyle w:val="Titre2"/>
      </w:pPr>
      <w:r>
        <w:t>4.a – Modalités de mise en œuvre</w:t>
      </w:r>
    </w:p>
    <w:p w14:paraId="0C7DAA71" w14:textId="77777777" w:rsidR="004E123B" w:rsidRDefault="000773C4">
      <w:pPr>
        <w:spacing w:before="80" w:after="80"/>
      </w:pPr>
      <w:r>
        <w:t>Il est possible d'intégrer une clause de révision ponctuelle du taux de rendement. Deux approches sont envisageables :</w:t>
      </w:r>
    </w:p>
    <w:p w14:paraId="4C005AC9" w14:textId="77777777" w:rsidR="004E123B" w:rsidRDefault="004E123B">
      <w:pPr>
        <w:spacing w:before="60"/>
      </w:pPr>
    </w:p>
    <w:p w14:paraId="44A7B187" w14:textId="77777777" w:rsidR="004E123B" w:rsidRDefault="000773C4">
      <w:pPr>
        <w:pStyle w:val="Paragraphedeliste"/>
        <w:numPr>
          <w:ilvl w:val="0"/>
          <w:numId w:val="2"/>
        </w:numPr>
        <w:spacing w:before="60" w:after="60"/>
      </w:pPr>
      <w:r>
        <w:t>Approche 1 (contraignante) : diffusion d'une nouvelle note d'information aux salariés à chaque révision.</w:t>
      </w:r>
    </w:p>
    <w:p w14:paraId="70526015" w14:textId="77777777" w:rsidR="004E123B" w:rsidRDefault="000773C4">
      <w:pPr>
        <w:pStyle w:val="Paragraphedeliste"/>
        <w:numPr>
          <w:ilvl w:val="0"/>
          <w:numId w:val="2"/>
        </w:numPr>
        <w:spacing w:before="60" w:after="60"/>
      </w:pPr>
      <w:r>
        <w:t>Approche 2 (recommandée) : inclusion dès la rédaction de la note d'information initiale relative à la mise en place du CET, dans la partie « calcul de l'abondement », d'une clause type telle que :</w:t>
      </w:r>
    </w:p>
    <w:p w14:paraId="233CEFE1" w14:textId="77777777" w:rsidR="004E123B" w:rsidRDefault="004E123B">
      <w:pPr>
        <w:spacing w:before="6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E123B" w14:paraId="5A65EFE3" w14:textId="77777777">
        <w:tblPrEx>
          <w:tblCellMar>
            <w:top w:w="0" w:type="dxa"/>
            <w:bottom w:w="0" w:type="dxa"/>
          </w:tblCellMar>
        </w:tblPrEx>
        <w:tc>
          <w:tcPr>
            <w:tcW w:w="9026" w:type="dxa"/>
            <w:tcBorders>
              <w:top w:val="single" w:sz="4" w:space="0" w:color="2E75B6"/>
              <w:left w:val="single" w:sz="4" w:space="0" w:color="2E75B6"/>
              <w:bottom w:val="single" w:sz="4" w:space="0" w:color="2E75B6"/>
              <w:right w:val="single" w:sz="4" w:space="0" w:color="2E75B6"/>
            </w:tcBorders>
            <w:shd w:val="clear" w:color="auto" w:fill="EBF3FB"/>
            <w:tcMar>
              <w:top w:w="100" w:type="dxa"/>
              <w:left w:w="180" w:type="dxa"/>
              <w:bottom w:w="100" w:type="dxa"/>
              <w:right w:w="180" w:type="dxa"/>
            </w:tcMar>
          </w:tcPr>
          <w:p w14:paraId="73CB5417" w14:textId="77777777" w:rsidR="004E123B" w:rsidRDefault="000773C4">
            <w:pPr>
              <w:spacing w:before="40" w:after="40"/>
            </w:pPr>
            <w:r>
              <w:t>« Le taux d'intérêt pourra être révisé à la hausse ou à la baisse en fonction des conditions de marché, par le biais d'une note de service adressée aux salariés. »</w:t>
            </w:r>
          </w:p>
        </w:tc>
      </w:tr>
    </w:tbl>
    <w:p w14:paraId="13B0C949" w14:textId="77777777" w:rsidR="004E123B" w:rsidRDefault="004E123B">
      <w:pPr>
        <w:spacing w:before="80"/>
      </w:pPr>
    </w:p>
    <w:p w14:paraId="0026A5A1" w14:textId="77777777" w:rsidR="004E123B" w:rsidRDefault="000773C4">
      <w:pPr>
        <w:spacing w:before="60" w:after="60"/>
        <w:ind w:left="360"/>
      </w:pPr>
      <w:r>
        <w:rPr>
          <w:i/>
          <w:iCs/>
          <w:color w:val="666666"/>
          <w:sz w:val="20"/>
          <w:szCs w:val="20"/>
        </w:rPr>
        <w:t>Cette seconde approche est préférable car elle évite d'avoir à modifier la note d'information à chaque révision, tout en garantissant l'information préalable des salariés.</w:t>
      </w:r>
    </w:p>
    <w:p w14:paraId="65ACB620" w14:textId="77777777" w:rsidR="004E123B" w:rsidRDefault="004E123B">
      <w:pPr>
        <w:spacing w:before="120"/>
      </w:pPr>
    </w:p>
    <w:p w14:paraId="2DD3E303" w14:textId="77777777" w:rsidR="004E123B" w:rsidRDefault="000773C4">
      <w:pPr>
        <w:pStyle w:val="Titre2"/>
      </w:pPr>
      <w:r>
        <w:t>4.b – Champ d'application de cette flexibilité</w:t>
      </w:r>
    </w:p>
    <w:p w14:paraId="34B8B5D8" w14:textId="77777777" w:rsidR="004E123B" w:rsidRDefault="000773C4">
      <w:pPr>
        <w:spacing w:before="80" w:after="80"/>
      </w:pPr>
      <w:r>
        <w:t>Cette flexibilité de révision du taux s'applique exclusivement pendant la phase de détention des droits CET par l'ETT.</w:t>
      </w:r>
    </w:p>
    <w:p w14:paraId="2D24EB73" w14:textId="77777777" w:rsidR="004E123B" w:rsidRDefault="004E123B">
      <w:pPr>
        <w:spacing w:before="60"/>
      </w:pPr>
    </w:p>
    <w:p w14:paraId="7C69554B" w14:textId="77777777" w:rsidR="004E123B" w:rsidRDefault="000773C4">
      <w:pPr>
        <w:spacing w:before="80" w:after="80"/>
      </w:pPr>
      <w:r>
        <w:t>Une fois les fonds transférés dans le PERCOL, le taux de rendement applicable est déterminé par les supports d'investissement du plan gérés par le prestataire du PERCOL. L'ETT n'a plus de prise sur ces conditions.</w:t>
      </w:r>
    </w:p>
    <w:p w14:paraId="6FFA1920" w14:textId="77777777" w:rsidR="004E123B" w:rsidRDefault="004E123B">
      <w:pPr>
        <w:pBdr>
          <w:bottom w:val="single" w:sz="4" w:space="1" w:color="B8CCE4"/>
        </w:pBdr>
        <w:spacing w:before="200" w:after="200"/>
      </w:pPr>
    </w:p>
    <w:p w14:paraId="68A2DCA1" w14:textId="77777777" w:rsidR="004E123B" w:rsidRDefault="004E123B">
      <w:pPr>
        <w:spacing w:before="100"/>
      </w:pPr>
    </w:p>
    <w:p w14:paraId="4AF6FE01" w14:textId="77777777" w:rsidR="004E123B" w:rsidRDefault="000773C4">
      <w:pPr>
        <w:spacing w:before="80"/>
      </w:pPr>
      <w:r>
        <w:rPr>
          <w:i/>
          <w:iCs/>
          <w:color w:val="666666"/>
          <w:sz w:val="18"/>
          <w:szCs w:val="18"/>
        </w:rPr>
        <w:t>Document établi sur la base des informations transmises par le service juridique compétent. Ce document ne constitue pas un avis juridique formel et ne saurait se substituer à une consultation personnalisée.</w:t>
      </w:r>
    </w:p>
    <w:sectPr w:rsidR="004E123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CE88A" w14:textId="77777777" w:rsidR="000773C4" w:rsidRDefault="000773C4">
      <w:r>
        <w:separator/>
      </w:r>
    </w:p>
  </w:endnote>
  <w:endnote w:type="continuationSeparator" w:id="0">
    <w:p w14:paraId="560FDAC3" w14:textId="77777777" w:rsidR="000773C4" w:rsidRDefault="000773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66D6D" w14:textId="77777777" w:rsidR="004E123B" w:rsidRDefault="000773C4">
    <w:pPr>
      <w:pBdr>
        <w:top w:val="single" w:sz="4" w:space="4" w:color="B8CCE4"/>
      </w:pBdr>
      <w:spacing w:before="100"/>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37789">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937789">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7D868" w14:textId="77777777" w:rsidR="000773C4" w:rsidRDefault="000773C4">
      <w:r>
        <w:separator/>
      </w:r>
    </w:p>
  </w:footnote>
  <w:footnote w:type="continuationSeparator" w:id="0">
    <w:p w14:paraId="1104E48A" w14:textId="77777777" w:rsidR="000773C4" w:rsidRDefault="000773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2BD0B" w14:textId="77777777" w:rsidR="004E123B" w:rsidRDefault="000773C4">
    <w:pPr>
      <w:pBdr>
        <w:bottom w:val="single" w:sz="6" w:space="4" w:color="2E75B6"/>
      </w:pBdr>
      <w:spacing w:after="100"/>
    </w:pPr>
    <w:r>
      <w:rPr>
        <w:b/>
        <w:bCs/>
        <w:color w:val="1F4E79"/>
      </w:rPr>
      <w:t>Note juridique – Dispositif CET / PERCOL pour intérimaires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680A7C"/>
    <w:multiLevelType w:val="hybridMultilevel"/>
    <w:tmpl w:val="20AA624E"/>
    <w:lvl w:ilvl="0" w:tplc="E6CA8506">
      <w:start w:val="1"/>
      <w:numFmt w:val="bullet"/>
      <w:lvlText w:val="●"/>
      <w:lvlJc w:val="left"/>
      <w:pPr>
        <w:ind w:left="720" w:hanging="360"/>
      </w:pPr>
    </w:lvl>
    <w:lvl w:ilvl="1" w:tplc="BF4A34AC">
      <w:start w:val="1"/>
      <w:numFmt w:val="bullet"/>
      <w:lvlText w:val="○"/>
      <w:lvlJc w:val="left"/>
      <w:pPr>
        <w:ind w:left="1440" w:hanging="360"/>
      </w:pPr>
    </w:lvl>
    <w:lvl w:ilvl="2" w:tplc="2230E4A4">
      <w:start w:val="1"/>
      <w:numFmt w:val="bullet"/>
      <w:lvlText w:val="■"/>
      <w:lvlJc w:val="left"/>
      <w:pPr>
        <w:ind w:left="2160" w:hanging="360"/>
      </w:pPr>
    </w:lvl>
    <w:lvl w:ilvl="3" w:tplc="085ACFD2">
      <w:start w:val="1"/>
      <w:numFmt w:val="bullet"/>
      <w:lvlText w:val="●"/>
      <w:lvlJc w:val="left"/>
      <w:pPr>
        <w:ind w:left="2880" w:hanging="360"/>
      </w:pPr>
    </w:lvl>
    <w:lvl w:ilvl="4" w:tplc="3BF0AF22">
      <w:start w:val="1"/>
      <w:numFmt w:val="bullet"/>
      <w:lvlText w:val="○"/>
      <w:lvlJc w:val="left"/>
      <w:pPr>
        <w:ind w:left="3600" w:hanging="360"/>
      </w:pPr>
    </w:lvl>
    <w:lvl w:ilvl="5" w:tplc="56B003FA">
      <w:start w:val="1"/>
      <w:numFmt w:val="bullet"/>
      <w:lvlText w:val="■"/>
      <w:lvlJc w:val="left"/>
      <w:pPr>
        <w:ind w:left="4320" w:hanging="360"/>
      </w:pPr>
    </w:lvl>
    <w:lvl w:ilvl="6" w:tplc="F3C44248">
      <w:start w:val="1"/>
      <w:numFmt w:val="bullet"/>
      <w:lvlText w:val="●"/>
      <w:lvlJc w:val="left"/>
      <w:pPr>
        <w:ind w:left="5040" w:hanging="360"/>
      </w:pPr>
    </w:lvl>
    <w:lvl w:ilvl="7" w:tplc="1CAA164E">
      <w:start w:val="1"/>
      <w:numFmt w:val="bullet"/>
      <w:lvlText w:val="●"/>
      <w:lvlJc w:val="left"/>
      <w:pPr>
        <w:ind w:left="5760" w:hanging="360"/>
      </w:pPr>
    </w:lvl>
    <w:lvl w:ilvl="8" w:tplc="0BECC6E4">
      <w:start w:val="1"/>
      <w:numFmt w:val="bullet"/>
      <w:lvlText w:val="●"/>
      <w:lvlJc w:val="left"/>
      <w:pPr>
        <w:ind w:left="6480" w:hanging="360"/>
      </w:pPr>
    </w:lvl>
  </w:abstractNum>
  <w:abstractNum w:abstractNumId="1" w15:restartNumberingAfterBreak="0">
    <w:nsid w:val="7FA64F28"/>
    <w:multiLevelType w:val="hybridMultilevel"/>
    <w:tmpl w:val="E118FFAC"/>
    <w:lvl w:ilvl="0" w:tplc="00D8CF54">
      <w:start w:val="1"/>
      <w:numFmt w:val="bullet"/>
      <w:lvlText w:val="–"/>
      <w:lvlJc w:val="left"/>
      <w:pPr>
        <w:ind w:left="720" w:hanging="360"/>
      </w:pPr>
    </w:lvl>
    <w:lvl w:ilvl="1" w:tplc="6926356A">
      <w:numFmt w:val="decimal"/>
      <w:lvlText w:val=""/>
      <w:lvlJc w:val="left"/>
    </w:lvl>
    <w:lvl w:ilvl="2" w:tplc="B008CCB0">
      <w:numFmt w:val="decimal"/>
      <w:lvlText w:val=""/>
      <w:lvlJc w:val="left"/>
    </w:lvl>
    <w:lvl w:ilvl="3" w:tplc="15CC8A48">
      <w:numFmt w:val="decimal"/>
      <w:lvlText w:val=""/>
      <w:lvlJc w:val="left"/>
    </w:lvl>
    <w:lvl w:ilvl="4" w:tplc="52F29110">
      <w:numFmt w:val="decimal"/>
      <w:lvlText w:val=""/>
      <w:lvlJc w:val="left"/>
    </w:lvl>
    <w:lvl w:ilvl="5" w:tplc="A7061C0C">
      <w:numFmt w:val="decimal"/>
      <w:lvlText w:val=""/>
      <w:lvlJc w:val="left"/>
    </w:lvl>
    <w:lvl w:ilvl="6" w:tplc="70EC9F66">
      <w:numFmt w:val="decimal"/>
      <w:lvlText w:val=""/>
      <w:lvlJc w:val="left"/>
    </w:lvl>
    <w:lvl w:ilvl="7" w:tplc="7C88CA98">
      <w:numFmt w:val="decimal"/>
      <w:lvlText w:val=""/>
      <w:lvlJc w:val="left"/>
    </w:lvl>
    <w:lvl w:ilvl="8" w:tplc="B3706128">
      <w:numFmt w:val="decimal"/>
      <w:lvlText w:val=""/>
      <w:lvlJc w:val="left"/>
    </w:lvl>
  </w:abstractNum>
  <w:num w:numId="1" w16cid:durableId="1526479803">
    <w:abstractNumId w:val="0"/>
    <w:lvlOverride w:ilvl="0">
      <w:startOverride w:val="1"/>
    </w:lvlOverride>
  </w:num>
  <w:num w:numId="2" w16cid:durableId="8067004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23B"/>
    <w:rsid w:val="000773C4"/>
    <w:rsid w:val="004E123B"/>
    <w:rsid w:val="00937789"/>
    <w:rsid w:val="00AB16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32EBA"/>
  <w15:docId w15:val="{25E1969A-D80A-4836-8718-B5F34EB2B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20"/>
      <w:outlineLvl w:val="0"/>
    </w:pPr>
    <w:rPr>
      <w:b/>
      <w:bCs/>
      <w:color w:val="1F4E79"/>
      <w:sz w:val="28"/>
      <w:szCs w:val="28"/>
    </w:rPr>
  </w:style>
  <w:style w:type="paragraph" w:styleId="Titre2">
    <w:name w:val="heading 2"/>
    <w:uiPriority w:val="9"/>
    <w:unhideWhenUsed/>
    <w:qFormat/>
    <w:pPr>
      <w:spacing w:before="240" w:after="80"/>
      <w:outlineLvl w:val="1"/>
    </w:pPr>
    <w:rPr>
      <w:b/>
      <w:bCs/>
      <w:color w:val="2E75B6"/>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941</Words>
  <Characters>5176</Characters>
  <Application>Microsoft Office Word</Application>
  <DocSecurity>4</DocSecurity>
  <Lines>43</Lines>
  <Paragraphs>12</Paragraphs>
  <ScaleCrop>false</ScaleCrop>
  <Company/>
  <LinksUpToDate>false</LinksUpToDate>
  <CharactersWithSpaces>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Benoit</cp:lastModifiedBy>
  <cp:revision>2</cp:revision>
  <dcterms:created xsi:type="dcterms:W3CDTF">2026-04-28T07:23:00Z</dcterms:created>
  <dcterms:modified xsi:type="dcterms:W3CDTF">2026-04-28T07:23:00Z</dcterms:modified>
</cp:coreProperties>
</file>