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niok8x69iori" w:id="0"/>
      <w:bookmarkEnd w:id="0"/>
      <w:r w:rsidDel="00000000" w:rsidR="00000000" w:rsidRPr="00000000">
        <w:rPr>
          <w:rtl w:val="0"/>
        </w:rPr>
        <w:t xml:space="preserve">Documentation GSB 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imsws3tkqeg" w:id="1"/>
      <w:bookmarkEnd w:id="1"/>
      <w:r w:rsidDel="00000000" w:rsidR="00000000" w:rsidRPr="00000000">
        <w:rPr>
          <w:rtl w:val="0"/>
        </w:rPr>
        <w:t xml:space="preserve">Pre-requis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Vous devez disposer d’un accès au réseau du lycée Chaptal (l’application utilise un service web en local)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Vous devez disposer d’un smartphone android utilisant l’API 14 ou plus.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Celui-ci doit disposer 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33l3jt8cz5a" w:id="2"/>
      <w:bookmarkEnd w:id="2"/>
      <w:r w:rsidDel="00000000" w:rsidR="00000000" w:rsidRPr="00000000">
        <w:rPr>
          <w:rtl w:val="0"/>
        </w:rPr>
        <w:t xml:space="preserve">Partie utilisateur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L’application n’est pas disponible sur le Google Play Store, elle doit être installer directement via l’ordinateur du développeur.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L’application est composer en plusieurs parties: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Une page d’accueil vous indiquant quelques modalités. Il vous faudra cliquer sur le bouton ‘accéder au contenu’ ou entrer ‘suivant la version’.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Une seconde page qui s’ouvrira après avoir cliquer sur le bouton de la première page. Celle-ci propose plusieurs service (ex: voir la liste des praticiens). Seul le 1er service fonctionne, les autres afficherons des messages d’erreurs en pop-up tel que ‘service indisponible pour le moment’.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Après avoir choisi le service ‘liste des praticiens’, vous tomberez sur une liste de département. Il vous suffit donc de cliquer sur le département souhaité. Seul le numéro du département est disponible pour le moment.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Après avoir choisi le département en cliquant dessus, vous arriverez à la liste de praticien de ce département.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lho1r41dn26" w:id="3"/>
      <w:bookmarkEnd w:id="3"/>
      <w:r w:rsidDel="00000000" w:rsidR="00000000" w:rsidRPr="00000000">
        <w:rPr>
          <w:rtl w:val="0"/>
        </w:rPr>
        <w:t xml:space="preserve">Partie technique</w:t>
      </w:r>
    </w:p>
    <w:p w:rsidR="00000000" w:rsidDel="00000000" w:rsidP="00000000" w:rsidRDefault="00000000" w:rsidRPr="00000000">
      <w:pPr>
        <w:pStyle w:val="Heading2"/>
        <w:contextualSpacing w:val="0"/>
      </w:pPr>
      <w:bookmarkStart w:colFirst="0" w:colLast="0" w:name="h.jo35vdju8bnn" w:id="4"/>
      <w:bookmarkEnd w:id="4"/>
      <w:r w:rsidDel="00000000" w:rsidR="00000000" w:rsidRPr="00000000">
        <w:rPr>
          <w:rtl w:val="0"/>
        </w:rPr>
        <w:t xml:space="preserve">Composition de l’application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L’application est composé d’un manifest, d’une partie RES comprenant les ressources (notamment XML) tel que les layouts, les images, les values, et une partie java comprenant les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Voici la liste des class et leur layout (s’ils en ont 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AccueilActivity = activity_accueil.xml   -&gt; ceci représente la page d’accueil, permet d’afficher 1 message + 1 bouton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ChoixActivity = activity_choix.xml -&gt; Permet d’afficher une liste de bouton avec les différentes activités possible, les ouvres s’ils sont disponible, sinon affiche un pop-up.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DepartementsActivity = activity_departements.xml -&gt; Pemet d’afficher la liste des départements. Quand on clique sur un des départements, ouvre PraticienActivity.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PraticienActivity =  activity_praticien -&gt; Affiche la liste des praticiens d’un département.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PraticienAdapter = praticien.xml -&gt; Permet de regrouper les informations d’un praticien, cdans un ‘modèle’ avant de les afficher dans PraticienActivity.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Praticien -&gt; Comprend les informations type d’un praticien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traitement -&gt; Traitement de l’url, accès au fichier 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