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Helvetica Neue" w:hAnsi="Helvetica Neue" w:eastAsia="Helvetica Neue" w:cs="Helvetica Neue"/>
          <w:b w:val="false"/>
          <w:position w:val="0"/>
          <w:sz w:val="24"/>
          <w:sz w:val="24"/>
          <w:szCs w:val="24"/>
          <w:vertAlign w:val="baseline"/>
        </w:rPr>
      </w:pPr>
      <w:r>
        <w:rPr>
          <w:rFonts w:eastAsia="Helvetica Neue" w:cs="Helvetica Neue" w:ascii="Helvetica Neue" w:hAnsi="Helvetica Neue"/>
          <w:b/>
          <w:position w:val="0"/>
          <w:sz w:val="24"/>
          <w:sz w:val="24"/>
          <w:szCs w:val="24"/>
          <w:vertAlign w:val="baseline"/>
        </w:rPr>
        <w:t>Counting Standard Template</w:t>
      </w:r>
    </w:p>
    <w:p>
      <w:pPr>
        <w:pStyle w:val="Normal"/>
        <w:rPr>
          <w:rFonts w:ascii="Helvetica Neue" w:hAnsi="Helvetica Neue" w:eastAsia="Helvetica Neue" w:cs="Helvetica Neue"/>
          <w:position w:val="0"/>
          <w:sz w:val="20"/>
          <w:vertAlign w:val="baseline"/>
        </w:rPr>
      </w:pPr>
      <w:r>
        <w:rPr>
          <w:rFonts w:eastAsia="Helvetica Neue" w:cs="Helvetica Neue" w:ascii="Helvetica Neue" w:hAnsi="Helvetica Neue"/>
          <w:position w:val="0"/>
          <w:sz w:val="20"/>
          <w:vertAlign w:val="baseline"/>
        </w:rPr>
      </w:r>
    </w:p>
    <w:tbl>
      <w:tblPr>
        <w:tblStyle w:val="15"/>
        <w:tblW w:w="9440" w:type="dxa"/>
        <w:jc w:val="left"/>
        <w:tblInd w:w="-80" w:type="dxa"/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1880"/>
        <w:gridCol w:w="3959"/>
        <w:gridCol w:w="1441"/>
        <w:gridCol w:w="2159"/>
      </w:tblGrid>
      <w:tr>
        <w:trPr>
          <w:cantSplit w:val="true"/>
        </w:trPr>
        <w:tc>
          <w:tcPr>
            <w:tcW w:w="1880" w:type="dxa"/>
            <w:tcBorders/>
          </w:tcPr>
          <w:p>
            <w:pPr>
              <w:pStyle w:val="Normal"/>
              <w:widowControl/>
              <w:spacing w:before="40" w:after="40"/>
              <w:jc w:val="left"/>
              <w:rPr>
                <w:rFonts w:ascii="Helvetica Neue" w:hAnsi="Helvetica Neue" w:eastAsia="Helvetica Neue" w:cs="Helvetica Neue"/>
                <w:position w:val="0"/>
                <w:sz w:val="20"/>
                <w:vertAlign w:val="baseline"/>
              </w:rPr>
            </w:pPr>
            <w:r>
              <w:rPr>
                <w:rFonts w:eastAsia="Helvetica Neue" w:cs="Helvetica Neue" w:ascii="Helvetica Neue" w:hAnsi="Helvetica Neue"/>
                <w:kern w:val="0"/>
                <w:position w:val="0"/>
                <w:sz w:val="20"/>
                <w:sz w:val="20"/>
                <w:vertAlign w:val="baseline"/>
              </w:rPr>
              <w:t>Definition Name: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Helvetica Neue" w:hAnsi="Helvetica Neue" w:eastAsia="Helvetica Neue" w:cs="Helvetica Neue"/>
                <w:position w:val="0"/>
                <w:sz w:val="20"/>
                <w:vertAlign w:val="baseline"/>
                <w:lang w:val="es-MX"/>
              </w:rPr>
            </w:pPr>
            <w:r>
              <w:rPr>
                <w:rFonts w:eastAsia="Helvetica Neue" w:cs="Helvetica Neue" w:ascii="Helvetica Neue" w:hAnsi="Helvetica Neue"/>
                <w:kern w:val="0"/>
                <w:position w:val="0"/>
                <w:sz w:val="20"/>
                <w:sz w:val="20"/>
                <w:vertAlign w:val="baseline"/>
                <w:lang w:val="es-MX"/>
              </w:rPr>
              <w:t xml:space="preserve">Estandar de Conteo 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before="40" w:after="40"/>
              <w:jc w:val="left"/>
              <w:rPr>
                <w:rFonts w:ascii="Helvetica Neue" w:hAnsi="Helvetica Neue" w:eastAsia="Helvetica Neue" w:cs="Helvetica Neue"/>
                <w:position w:val="0"/>
                <w:sz w:val="20"/>
                <w:vertAlign w:val="baseline"/>
              </w:rPr>
            </w:pPr>
            <w:r>
              <w:rPr>
                <w:rFonts w:eastAsia="Helvetica Neue" w:cs="Helvetica Neue" w:ascii="Helvetica Neue" w:hAnsi="Helvetica Neue"/>
                <w:kern w:val="0"/>
                <w:position w:val="0"/>
                <w:sz w:val="20"/>
                <w:sz w:val="20"/>
                <w:vertAlign w:val="baseline"/>
              </w:rPr>
              <w:t>Language:</w:t>
            </w:r>
          </w:p>
        </w:tc>
        <w:tc>
          <w:tcPr>
            <w:tcW w:w="2159" w:type="dxa"/>
            <w:tcBorders>
              <w:bottom w:val="single" w:sz="6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Helvetica Neue" w:hAnsi="Helvetica Neue" w:eastAsia="Helvetica Neue" w:cs="Helvetica Neue"/>
                <w:position w:val="0"/>
                <w:sz w:val="20"/>
                <w:vertAlign w:val="baseline"/>
                <w:lang w:val="es-MX"/>
              </w:rPr>
            </w:pPr>
            <w:r>
              <w:rPr>
                <w:rFonts w:eastAsia="Helvetica Neue" w:cs="Helvetica Neue" w:ascii="Helvetica Neue" w:hAnsi="Helvetica Neue"/>
                <w:kern w:val="0"/>
                <w:position w:val="0"/>
                <w:sz w:val="20"/>
                <w:sz w:val="20"/>
                <w:vertAlign w:val="baseline"/>
                <w:lang w:val="es-MX"/>
              </w:rPr>
              <w:t xml:space="preserve">Java </w:t>
            </w:r>
          </w:p>
        </w:tc>
      </w:tr>
      <w:tr>
        <w:trPr>
          <w:cantSplit w:val="true"/>
        </w:trPr>
        <w:tc>
          <w:tcPr>
            <w:tcW w:w="1880" w:type="dxa"/>
            <w:tcBorders/>
          </w:tcPr>
          <w:p>
            <w:pPr>
              <w:pStyle w:val="Normal"/>
              <w:widowControl/>
              <w:spacing w:before="40" w:after="40"/>
              <w:jc w:val="left"/>
              <w:rPr>
                <w:rFonts w:ascii="Helvetica Neue" w:hAnsi="Helvetica Neue" w:eastAsia="Helvetica Neue" w:cs="Helvetica Neue"/>
                <w:position w:val="0"/>
                <w:sz w:val="20"/>
                <w:vertAlign w:val="baseline"/>
              </w:rPr>
            </w:pPr>
            <w:r>
              <w:rPr>
                <w:rFonts w:eastAsia="Helvetica Neue" w:cs="Helvetica Neue" w:ascii="Helvetica Neue" w:hAnsi="Helvetica Neue"/>
                <w:kern w:val="0"/>
                <w:position w:val="0"/>
                <w:sz w:val="20"/>
                <w:sz w:val="20"/>
                <w:vertAlign w:val="baseline"/>
              </w:rPr>
              <w:t>Author:</w:t>
            </w:r>
          </w:p>
        </w:tc>
        <w:tc>
          <w:tcPr>
            <w:tcW w:w="39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Helvetica Neue" w:hAnsi="Helvetica Neue" w:eastAsia="Helvetica Neue" w:cs="Helvetica Neue"/>
                <w:position w:val="0"/>
                <w:sz w:val="20"/>
                <w:vertAlign w:val="baseline"/>
                <w:lang w:val="es-MX"/>
              </w:rPr>
            </w:pPr>
            <w:r>
              <w:rPr>
                <w:rFonts w:eastAsia="Helvetica Neue" w:cs="Helvetica Neue" w:ascii="Helvetica Neue" w:hAnsi="Helvetica Neue"/>
                <w:kern w:val="0"/>
                <w:position w:val="0"/>
                <w:sz w:val="20"/>
                <w:sz w:val="20"/>
                <w:vertAlign w:val="baseline"/>
                <w:lang w:val="es-MX"/>
              </w:rPr>
              <w:t xml:space="preserve">Jose Manuel Roberto Badillo </w:t>
            </w:r>
          </w:p>
        </w:tc>
        <w:tc>
          <w:tcPr>
            <w:tcW w:w="1441" w:type="dxa"/>
            <w:tcBorders/>
          </w:tcPr>
          <w:p>
            <w:pPr>
              <w:pStyle w:val="Normal"/>
              <w:widowControl/>
              <w:spacing w:before="40" w:after="40"/>
              <w:jc w:val="left"/>
              <w:rPr>
                <w:rFonts w:ascii="Helvetica Neue" w:hAnsi="Helvetica Neue" w:eastAsia="Helvetica Neue" w:cs="Helvetica Neue"/>
                <w:position w:val="0"/>
                <w:sz w:val="20"/>
                <w:vertAlign w:val="baseline"/>
              </w:rPr>
            </w:pPr>
            <w:r>
              <w:rPr>
                <w:rFonts w:eastAsia="Helvetica Neue" w:cs="Helvetica Neue" w:ascii="Helvetica Neue" w:hAnsi="Helvetica Neue"/>
                <w:kern w:val="0"/>
                <w:position w:val="0"/>
                <w:sz w:val="20"/>
                <w:sz w:val="20"/>
                <w:vertAlign w:val="baseline"/>
              </w:rPr>
              <w:t>Date:</w:t>
            </w:r>
          </w:p>
        </w:tc>
        <w:tc>
          <w:tcPr>
            <w:tcW w:w="2159" w:type="dxa"/>
            <w:tcBorders>
              <w:top w:val="single" w:sz="6" w:space="0" w:color="000000"/>
              <w:bottom w:val="single" w:sz="6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Helvetica Neue" w:hAnsi="Helvetica Neue" w:eastAsia="Helvetica Neue" w:cs="Helvetica Neue"/>
                <w:position w:val="0"/>
                <w:sz w:val="20"/>
                <w:vertAlign w:val="baseline"/>
                <w:lang w:val="es-MX"/>
              </w:rPr>
            </w:pPr>
            <w:r>
              <w:rPr>
                <w:rFonts w:eastAsia="Helvetica Neue" w:cs="Helvetica Neue" w:ascii="Helvetica Neue" w:hAnsi="Helvetica Neue"/>
                <w:kern w:val="0"/>
                <w:position w:val="0"/>
                <w:sz w:val="20"/>
                <w:sz w:val="20"/>
                <w:vertAlign w:val="baseline"/>
                <w:lang w:val="es-MX"/>
              </w:rPr>
              <w:t>22/03/2026</w:t>
            </w:r>
          </w:p>
        </w:tc>
      </w:tr>
    </w:tbl>
    <w:p>
      <w:pPr>
        <w:pStyle w:val="Normal"/>
        <w:rPr>
          <w:rFonts w:ascii="Helvetica Neue" w:hAnsi="Helvetica Neue" w:eastAsia="Helvetica Neue" w:cs="Helvetica Neue"/>
          <w:position w:val="0"/>
          <w:sz w:val="20"/>
          <w:vertAlign w:val="baseline"/>
        </w:rPr>
      </w:pPr>
      <w:r>
        <w:rPr>
          <w:rFonts w:eastAsia="Helvetica Neue" w:cs="Helvetica Neue" w:ascii="Helvetica Neue" w:hAnsi="Helvetica Neue"/>
          <w:position w:val="0"/>
          <w:sz w:val="20"/>
          <w:vertAlign w:val="baseline"/>
        </w:rPr>
      </w:r>
    </w:p>
    <w:tbl>
      <w:tblPr>
        <w:tblStyle w:val="16"/>
        <w:tblW w:w="9440" w:type="dxa"/>
        <w:jc w:val="left"/>
        <w:tblInd w:w="-80" w:type="dxa"/>
        <w:tblLayout w:type="fixed"/>
        <w:tblCellMar>
          <w:top w:w="0" w:type="dxa"/>
          <w:left w:w="80" w:type="dxa"/>
          <w:bottom w:w="0" w:type="dxa"/>
          <w:right w:w="80" w:type="dxa"/>
        </w:tblCellMar>
      </w:tblPr>
      <w:tblGrid>
        <w:gridCol w:w="2599"/>
        <w:gridCol w:w="1261"/>
        <w:gridCol w:w="5580"/>
      </w:tblGrid>
      <w:tr>
        <w:trPr>
          <w:cantSplit w:val="true"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</w:rPr>
            </w:pPr>
            <w:r>
              <w:rPr>
                <w:rFonts w:eastAsia="Helvetica Neue" w:cs="Times New Roman" w:ascii="Times New Roman" w:hAnsi="Times New Roman"/>
                <w:b/>
                <w:kern w:val="0"/>
                <w:position w:val="0"/>
                <w:sz w:val="18"/>
                <w:sz w:val="18"/>
                <w:szCs w:val="18"/>
                <w:vertAlign w:val="baseline"/>
              </w:rPr>
              <w:t>Count Type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b w:val="false"/>
                <w:position w:val="0"/>
                <w:sz w:val="18"/>
                <w:sz w:val="18"/>
                <w:szCs w:val="18"/>
                <w:vertAlign w:val="baseline"/>
              </w:rPr>
            </w:pPr>
            <w:r>
              <w:rPr>
                <w:rFonts w:eastAsia="Helvetica Neue" w:cs="Times New Roman" w:ascii="Times New Roman" w:hAnsi="Times New Roman"/>
                <w:b/>
                <w:kern w:val="0"/>
                <w:position w:val="0"/>
                <w:sz w:val="18"/>
                <w:sz w:val="18"/>
                <w:szCs w:val="18"/>
                <w:vertAlign w:val="baseline"/>
              </w:rPr>
              <w:t>Type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b w:val="false"/>
                <w:position w:val="0"/>
                <w:sz w:val="18"/>
                <w:sz w:val="18"/>
                <w:szCs w:val="18"/>
                <w:vertAlign w:val="baseline"/>
              </w:rPr>
            </w:pPr>
            <w:r>
              <w:rPr>
                <w:rFonts w:eastAsia="Helvetica Neue" w:cs="Times New Roman" w:ascii="Times New Roman" w:hAnsi="Times New Roman"/>
                <w:b/>
                <w:kern w:val="0"/>
                <w:position w:val="0"/>
                <w:sz w:val="18"/>
                <w:sz w:val="18"/>
                <w:szCs w:val="18"/>
                <w:vertAlign w:val="baseline"/>
              </w:rPr>
              <w:t>Comments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</w:rPr>
              <w:t>Logical/Physical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 xml:space="preserve">Logico 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Solo se tendrán en cuenta las líneas lógicas establecidas en el estándar de codificación.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b/>
                <w:bCs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Ejemplo 1</w:t>
            </w: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: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int a = 5; // Declaración y asignación → 1 LOC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int b = 10; // Declaración y asignación → 1 LOC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b = a + 3; // Asignación con operación → 1 LOC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Total LOC: 3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Correcto: cada declaración y asignación se cuenta de forma independiente.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 xml:space="preserve"> </w:t>
            </w: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Incorrecto: contar todo el bloque como 1 sola LOC.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b/>
                <w:bCs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b/>
                <w:bCs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Ejemplo 2: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int x = 1, y = 2, z = 3; // Declaraciones múltiples → 3 LOC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Total LOC: 3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Correcto: cada variable declarada cuenta como 1 LOC.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Incorrecto: considerar toda la línea como solo 1 LOC.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</w:rPr>
            </w:pPr>
            <w:r>
              <w:rPr>
                <w:rFonts w:eastAsia="Helvetica Neue" w:cs="Times New Roman" w:ascii="Times New Roman" w:hAnsi="Times New Roman"/>
                <w:b/>
                <w:kern w:val="0"/>
                <w:position w:val="0"/>
                <w:sz w:val="18"/>
                <w:sz w:val="18"/>
                <w:szCs w:val="18"/>
                <w:vertAlign w:val="baseline"/>
              </w:rPr>
              <w:t>Statement Type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b w:val="false"/>
                <w:position w:val="0"/>
                <w:sz w:val="18"/>
                <w:sz w:val="18"/>
                <w:szCs w:val="18"/>
                <w:vertAlign w:val="baseline"/>
              </w:rPr>
            </w:pPr>
            <w:r>
              <w:rPr>
                <w:rFonts w:eastAsia="Helvetica Neue" w:cs="Times New Roman" w:ascii="Times New Roman" w:hAnsi="Times New Roman"/>
                <w:b/>
                <w:kern w:val="0"/>
                <w:position w:val="0"/>
                <w:sz w:val="18"/>
                <w:sz w:val="18"/>
                <w:szCs w:val="18"/>
                <w:vertAlign w:val="baseline"/>
              </w:rPr>
              <w:t>Included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b w:val="false"/>
                <w:position w:val="0"/>
                <w:sz w:val="18"/>
                <w:sz w:val="18"/>
                <w:szCs w:val="18"/>
                <w:vertAlign w:val="baseline"/>
              </w:rPr>
            </w:pPr>
            <w:r>
              <w:rPr>
                <w:rFonts w:eastAsia="Helvetica Neue" w:cs="Times New Roman" w:ascii="Times New Roman" w:hAnsi="Times New Roman"/>
                <w:b/>
                <w:kern w:val="0"/>
                <w:position w:val="0"/>
                <w:sz w:val="18"/>
                <w:sz w:val="18"/>
                <w:szCs w:val="18"/>
                <w:vertAlign w:val="baseline"/>
              </w:rPr>
              <w:t>Comments/Clarifications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lef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</w:rPr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</w:rPr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</w:rPr>
            </w:r>
          </w:p>
        </w:tc>
      </w:tr>
      <w:tr>
        <w:trPr>
          <w:trHeight w:val="1983" w:hRule="atLeast"/>
          <w:cantSplit w:val="true"/>
        </w:trPr>
        <w:tc>
          <w:tcPr>
            <w:tcW w:w="2599" w:type="dxa"/>
            <w:tcBorders>
              <w:lef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</w:rPr>
              <w:t>Executable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 xml:space="preserve">Si 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Se contarán llamadas a funciones, ciclos y estructuras de control. Si hay múltiples asignaciones o llamadas, cada una se cuenta por separado; asignaciones simples o cualquier llamada que requiera una acción.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if (cosa1 == cosa2) {</w:t>
            </w:r>
            <w:bookmarkStart w:id="0" w:name="_GoBack"/>
            <w:bookmarkEnd w:id="0"/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}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Esto al ser una llamada/evaluación será contada como una acción.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kern w:val="0"/>
                <w:sz w:val="20"/>
              </w:rPr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Ejemplo 2: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if (lineaLimpia.isEmpty()) { // Estructura if y evaluación → 1 LOC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 xml:space="preserve">    </w:t>
            </w: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continue;                // Ruptura de flujo → 1 LOC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}                            // Llave de cierre → 0 LOC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Total LOC: 2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kern w:val="0"/>
                <w:sz w:val="20"/>
              </w:rPr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Correcto: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Considerar la estructura if junto con su condición (.isEmpty()) como una sola línea lógica o acción (1 LOC). La instrucción continue se cuenta por separado como una acción ejecutable (1 LOC), y la llave de cierre se ignora por completo en el conteo (0 LOC).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Incorrecto: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Contar if (lineaLimpia.isEmpty()) { como 2 LOC separando la estructura de control de la llamada a la función, o sumar la llave de cierre como una línea adicional al total.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lef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</w:rPr>
              <w:t>Nonexecutable: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</w:rPr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</w:rPr>
            </w:r>
          </w:p>
        </w:tc>
      </w:tr>
      <w:tr>
        <w:trPr>
          <w:cantSplit w:val="true"/>
        </w:trPr>
        <w:tc>
          <w:tcPr>
            <w:tcW w:w="2599" w:type="dxa"/>
            <w:tcBorders>
              <w:lef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ind w:hanging="0" w:left="18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</w:rPr>
              <w:t>Declarations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 xml:space="preserve">Si 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Será contada toda línea que define una estructura o dato, desde llamadas hasta una variable. La llave de apertura contará solo si está en la misma línea; si hay llave de cierre, será ignorada en el conteo.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Condicionales: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if (a &gt; b) { // Condicional → 1 LOC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 xml:space="preserve">   </w:t>
            </w: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a = b; // Asignación dentro del if → 1 LOC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} // Llave de cierre → 0 LOC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Total LOC: 2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Correcto: solo se cuentan las líneas que contienen operaciones o declaraciones.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Incorrecto: contar también la llave de cierre.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Ciclos: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for (int i = 0; i &lt; 5; i++) { // Inicialización, condición, incremento → 1 LOC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 xml:space="preserve">    </w:t>
            </w: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System.out.println(i); // Llamada a función → 1 LOC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} // Llave de cierre → 0 LOC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Total LOC: 2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Correcto: se cuentan tanto la línea del ciclo como la instrucción dentro.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Incorrecto: sumar las llaves.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Clases y Constructores: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public class Persona { // Declaración de clase → 1 LOC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 xml:space="preserve">    </w:t>
            </w: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private String nombre; // Declaración de atributo → 1 LOC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 xml:space="preserve">    </w:t>
            </w: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private int edad; // Declaración de atributo → 1 LOC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kern w:val="0"/>
                <w:sz w:val="20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 xml:space="preserve">    </w:t>
            </w: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public Persona(String nombre, int edad) { // Constructor → 1 LOC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 xml:space="preserve">        </w:t>
            </w: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this.nombre = nombre; // Asignación → 1 LOC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 xml:space="preserve">        </w:t>
            </w: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this.edad = edad; // Asignación → 1 LOC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 xml:space="preserve">    </w:t>
            </w: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Total LOC: 6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Correcto: se cuentan declaraciones, constructor y asignaciones.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Incorrecto: contar las llaves como LOC.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Manejo de Excepciones: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try { // Inicio de bloque try → 1 LOC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 xml:space="preserve">    </w:t>
            </w: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int resultado = 10 / 0; // Operación con posible excepción → 1 LOC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} catch (Exception e) { // Bloque catch → 1 LOC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 xml:space="preserve">    </w:t>
            </w: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System.out.println(e); // Llamada a función → 1 LOC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Total LOC: 4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Correcto: se cuentan las operaciones y declaraciones.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Incorrecto: sumar las llaves como LOC.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Rupturas de flujo (Break):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for (int i = 0; i &lt; 10; i++) { // Estructura for → 1 LOC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 xml:space="preserve">   </w:t>
            </w: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if (i == 5) { // Condicional → 1 LOC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 xml:space="preserve">   </w:t>
            </w: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break; // Instrucción break → 1 LOC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 xml:space="preserve">   </w:t>
            </w: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System.out.println(i); // Llamada a función → 1 LOC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}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Total LOC: 4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Correcto: el break cuenta como 1 LOC porque es una instrucción ejecutable.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Incorrecto: ignorar el break o contar las llaves.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kern w:val="0"/>
                <w:sz w:val="20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kern w:val="0"/>
                <w:sz w:val="20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Importaciones: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import java.util.List; // Importación de librería → 1 LOC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Correcto: el import cuenta como 1 LOC porque es una instrucción requerida.</w:t>
            </w:r>
          </w:p>
          <w:p>
            <w:pPr>
              <w:pStyle w:val="Normal"/>
              <w:widowControl/>
              <w:spacing w:before="0" w:after="0"/>
              <w:jc w:val="left"/>
              <w:rPr>
                <w:rFonts w:ascii="Times New Roman" w:hAnsi="Times New Roman" w:cs="Times New Roman"/>
                <w:sz w:val="18"/>
                <w:szCs w:val="18"/>
                <w:lang w:val="es-MX"/>
              </w:rPr>
            </w:pPr>
            <w:r>
              <w:rPr>
                <w:rFonts w:ascii="Times New Roman" w:hAnsi="Times New Roman"/>
                <w:kern w:val="0"/>
                <w:sz w:val="18"/>
                <w:szCs w:val="18"/>
                <w:lang w:val="es-MX"/>
              </w:rPr>
              <w:t>Incorrecto: ignorar el import.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lef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ind w:hanging="0" w:left="18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</w:rPr>
              <w:t>Compiler Directives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 xml:space="preserve">No 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 xml:space="preserve">No aplica en java 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lef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ind w:hanging="0" w:left="18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</w:rPr>
              <w:t>Comments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 xml:space="preserve">No 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Los comentarios no seran tomados en cuenta.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// Esta clase hace llamada a tal... // Esto no será tomado en cuenta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// Este es un comentario → 0 LOC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int edad = 20; // Declaración con asignación → 1 LOC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// Otro comentario → 0 LOC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Total LOC: 1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Correcto: ignorar comentarios y líneas en blanco.</w:t>
            </w:r>
          </w:p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Incorr</w:t>
            </w: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e</w:t>
            </w: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cto: contar comentarios como LOC.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lef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ind w:hanging="0" w:left="36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</w:rPr>
              <w:t>On own lines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 xml:space="preserve">No 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Las llaves de apertura, las de cierre y las líneas en blanco.</w:t>
            </w:r>
          </w:p>
        </w:tc>
      </w:tr>
      <w:tr>
        <w:trPr>
          <w:trHeight w:val="629" w:hRule="atLeast"/>
          <w:cantSplit w:val="true"/>
        </w:trPr>
        <w:tc>
          <w:tcPr>
            <w:tcW w:w="2599" w:type="dxa"/>
            <w:tcBorders>
              <w:lef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ind w:hanging="0" w:left="36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</w:rPr>
              <w:t>With source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 xml:space="preserve">Si 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Se contará como 1 línea de código toda aquella que contenga código funcional. Siempre que haya código, tendrá prioridad de conteo.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lef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ind w:hanging="0" w:left="36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</w:rPr>
              <w:t>Banners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 xml:space="preserve">No 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Cualquier bloque de comentarios grande y estructurado (como el encabezado de clase) será omitido por el conteo, dado que no es código funcional; por ende, no es contado como LOC.</w:t>
            </w:r>
          </w:p>
        </w:tc>
      </w:tr>
      <w:tr>
        <w:trPr>
          <w:cantSplit w:val="true"/>
        </w:trPr>
        <w:tc>
          <w:tcPr>
            <w:tcW w:w="259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ind w:hanging="0" w:left="18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</w:rPr>
              <w:t>Blank lines</w:t>
            </w:r>
          </w:p>
        </w:tc>
        <w:tc>
          <w:tcPr>
            <w:tcW w:w="1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cs="Times New Roman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 xml:space="preserve">No </w:t>
            </w:r>
          </w:p>
        </w:tc>
        <w:tc>
          <w:tcPr>
            <w:tcW w:w="55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spacing w:before="40" w:after="40"/>
              <w:jc w:val="left"/>
              <w:rPr>
                <w:rFonts w:ascii="Times New Roman" w:hAnsi="Times New Roman" w:eastAsia="Helvetica Neue" w:cs="Times New Roman"/>
                <w:position w:val="0"/>
                <w:sz w:val="18"/>
                <w:sz w:val="18"/>
                <w:szCs w:val="18"/>
                <w:vertAlign w:val="baseline"/>
                <w:lang w:val="es-MX"/>
              </w:rPr>
            </w:pPr>
            <w:r>
              <w:rPr>
                <w:rFonts w:eastAsia="Helvetica Neue" w:ascii="Times New Roman" w:hAnsi="Times New Roman"/>
                <w:kern w:val="0"/>
                <w:position w:val="0"/>
                <w:sz w:val="18"/>
                <w:sz w:val="18"/>
                <w:szCs w:val="18"/>
                <w:vertAlign w:val="baseline"/>
                <w:lang w:val="es-MX"/>
              </w:rPr>
              <w:t>Dado que las líneas en blanco no son código funcional, no serán contadas como LOC.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Times">
    <w:altName w:val="Times New Roman"/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Helvetica Neue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doNotExpandShiftReturn/>
    <w:compatSetting w:name="compatibilityMode" w:uri="http://schemas.microsoft.com/office/word" w:val="12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s-MX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/>
    <w:lsdException w:name="heading 1" w:uiPriority="0" w:semiHidden="0" w:unhideWhenUsed="0" w:qFormat="1"/>
    <w:lsdException w:name="heading 2" w:uiPriority="0" w:semiHidden="0" w:unhideWhenUsed="0" w:qFormat="1"/>
    <w:lsdException w:name="heading 3" w:uiPriority="0" w:semiHidden="0" w:unhideWhenUsed="0" w:qFormat="1"/>
    <w:lsdException w:name="heading 4" w:uiPriority="0" w:semiHidden="0" w:unhideWhenUsed="0" w:qFormat="1"/>
    <w:lsdException w:name="heading 5" w:uiPriority="0" w:semiHidden="0" w:unhideWhenUsed="0" w:qFormat="1"/>
    <w:lsdException w:name="heading 6" w:uiPriority="0" w:semiHidden="0" w:unhideWhenUsed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 w:qFormat="1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</w:latentStyles>
  <w:style w:type="paragraph" w:styleId="Normal" w:default="1">
    <w:name w:val="Normal"/>
    <w:uiPriority w:val="0"/>
    <w:qFormat/>
    <w:pPr>
      <w:widowControl/>
      <w:bidi w:val="0"/>
      <w:spacing w:before="0" w:after="0"/>
      <w:jc w:val="left"/>
    </w:pPr>
    <w:rPr>
      <w:rFonts w:ascii="Times" w:hAnsi="Times" w:eastAsia="Times" w:cs="Times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uiPriority w:val="0"/>
    <w:qFormat/>
    <w:pPr>
      <w:keepNext w:val="true"/>
      <w:keepLines/>
      <w:pageBreakBefore w:val="false"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0"/>
    <w:qFormat/>
    <w:pPr>
      <w:keepNext w:val="true"/>
      <w:keepLines/>
      <w:pageBreakBefore w:val="false"/>
      <w:spacing w:before="360" w:after="80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0"/>
    <w:qFormat/>
    <w:pPr>
      <w:keepNext w:val="true"/>
      <w:keepLines/>
      <w:pageBreakBefore w:val="false"/>
      <w:spacing w:before="280" w:after="80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0"/>
    <w:qFormat/>
    <w:pPr>
      <w:keepNext w:val="true"/>
      <w:keepLines/>
      <w:pageBreakBefore w:val="false"/>
      <w:spacing w:before="240" w:after="40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0"/>
    <w:qFormat/>
    <w:pPr>
      <w:keepNext w:val="true"/>
      <w:keepLines/>
      <w:pageBreakBefore w:val="false"/>
      <w:spacing w:before="220" w:after="40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0"/>
    <w:qFormat/>
    <w:pPr>
      <w:keepNext w:val="true"/>
      <w:keepLines/>
      <w:pageBreakBefore w:val="false"/>
      <w:spacing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HTMLCode">
    <w:name w:val="HTML Code"/>
    <w:basedOn w:val="DefaultParagraphFont"/>
    <w:uiPriority w:val="0"/>
    <w:qFormat/>
    <w:rPr>
      <w:rFonts w:ascii="Courier New" w:hAnsi="Courier New" w:cs="Courier New"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uiPriority w:val="0"/>
    <w:qFormat/>
    <w:pPr>
      <w:widowControl/>
      <w:bidi w:val="0"/>
      <w:spacing w:beforeAutospacing="1" w:afterAutospacing="1"/>
      <w:ind w:left="0" w:right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paragraph" w:styleId="Subtitle">
    <w:name w:val="Subtitle"/>
    <w:basedOn w:val="Normal"/>
    <w:next w:val="Normal"/>
    <w:uiPriority w:val="0"/>
    <w:qFormat/>
    <w:pPr>
      <w:keepNext w:val="true"/>
      <w:keepLines/>
      <w:pageBreakBefore w:val="false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uiPriority w:val="0"/>
    <w:qFormat/>
    <w:pPr>
      <w:keepNext w:val="true"/>
      <w:keepLines/>
      <w:pageBreakBefore w:val="false"/>
      <w:spacing w:before="480" w:after="120"/>
    </w:pPr>
    <w:rPr>
      <w:b/>
      <w:sz w:val="72"/>
      <w:szCs w:val="72"/>
    </w:rPr>
  </w:style>
  <w:style w:type="table" w:default="1" w:styleId="9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Table Normal"/>
    <w:uiPriority w:val="0"/>
    <w:qFormat/>
  </w:style>
  <w:style w:type="table" w:customStyle="1" w:styleId="15">
    <w:name w:val="_Style 10"/>
    <w:basedOn w:val="14"/>
    <w:uiPriority w:val="0"/>
    <w:qFormat/>
    <w:tblPr>
      <w:tblCellMar>
        <w:top w:w="0" w:type="dxa"/>
        <w:left w:w="80" w:type="dxa"/>
        <w:bottom w:w="0" w:type="dxa"/>
        <w:right w:w="80" w:type="dxa"/>
      </w:tblCellMar>
    </w:tblPr>
  </w:style>
  <w:style w:type="table" w:customStyle="1" w:styleId="16">
    <w:name w:val="_Style 11"/>
    <w:basedOn w:val="14"/>
    <w:uiPriority w:val="0"/>
    <w:qFormat/>
    <w:tblPr>
      <w:tblCellMar>
        <w:top w:w="0" w:type="dxa"/>
        <w:left w:w="80" w:type="dxa"/>
        <w:bottom w:w="0" w:type="dxa"/>
        <w:right w:w="8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24</TotalTime>
  <Application>LibreOffice/24.2.7.2$Linux_X86_64 LibreOffice_project/420$Build-2</Application>
  <AppVersion>15.0000</AppVersion>
  <Pages>4</Pages>
  <Words>837</Words>
  <Characters>3890</Characters>
  <CharactersWithSpaces>4720</CharactersWithSpaces>
  <Paragraphs>123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2025-10-05T21:38:00Z</dcterms:created>
  <dc:creator>braya</dc:creator>
  <dc:description/>
  <dc:language>es-MX</dc:language>
  <cp:lastModifiedBy/>
  <dcterms:modified xsi:type="dcterms:W3CDTF">2026-04-15T12:35:07Z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2500DC70E88B45DE884CFE8A946EA69C_13</vt:lpwstr>
  </property>
  <property fmtid="{D5CDD505-2E9C-101B-9397-08002B2CF9AE}" pid="3" name="KSOProductBuildVer">
    <vt:lpwstr>3082-12.2.0.23197</vt:lpwstr>
  </property>
</Properties>
</file>