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1414"/>
          <w:sz w:val="26"/>
        </w:rPr>
        <w:t>OSIRI UNIVERSITY, NEBRASKA, USA</w:t>
        <w:br/>
        <w:t>DEPARTMENT OF COMPUTER SCIENCE &amp; ARTIFICIAL INTELLIGENCE</w:t>
      </w:r>
    </w:p>
    <w:p>
      <w:pPr>
        <w:jc w:val="center"/>
      </w:pPr>
      <w:r>
        <w:rPr>
          <w:b/>
          <w:sz w:val="22"/>
        </w:rPr>
        <w:t>APPLICATION ASSESSMENT : MACHINE LEARNING RESEARCH AND APPLICATION DEVELOPMENT</w:t>
        <w:br/>
        <w:t>PART 1: COMPREHENSIVE RESEARCH TERM PAPER</w:t>
      </w:r>
    </w:p>
    <w:p>
      <w:pPr>
        <w:jc w:val="center"/>
      </w:pPr>
      <w:r>
        <w:rPr>
          <w:b/>
          <w:color w:val="0A285A"/>
          <w:sz w:val="30"/>
        </w:rPr>
        <w:br/>
        <w:t>CardioAI: Comparative Empirical Benchmarking of 21 Algorithmic Paradigms, Stratified 5-Fold Cross-Validation, and Explainable AI (SHAP) for Cardiovascular Risk Stratification</w:t>
      </w:r>
    </w:p>
    <w:p>
      <w:pPr>
        <w:spacing w:line="276" w:lineRule="auto"/>
        <w:jc w:val="center"/>
      </w:pPr>
      <w:r>
        <w:rPr>
          <w:i/>
          <w:sz w:val="21"/>
        </w:rPr>
        <w:t>Researcher / Author: Benedict Baah (benbaah@osiriuniversity.org | +233 245759765)</w:t>
        <w:br/>
        <w:t>Faculty Advisor / Research Supervisor: Dr. Timothy Ogunleye</w:t>
        <w:br/>
        <w:t>GitHub Repository: https://github.com/BenedictBen/heart-disease-prediction</w:t>
        <w:br/>
        <w:t>Live Deployed System: https://heart-disease-prediction-hv6rhgtwcbaogahkc2mgne.streamlit.app/</w:t>
        <w:br/>
      </w:r>
    </w:p>
    <w:p>
      <w:pPr>
        <w:jc w:val="center"/>
      </w:pPr>
      <w:r>
        <w:t>――――――――――――――――――――――――――――――――――――――――――――――――</w:t>
      </w:r>
    </w:p>
    <w:p>
      <w:pPr>
        <w:pStyle w:val="Heading2"/>
      </w:pPr>
      <w:r>
        <w:rPr>
          <w:rFonts w:ascii="Times New Roman" w:hAnsi="Times New Roman"/>
          <w:color w:val="0A285A"/>
        </w:rPr>
        <w:t>TABLE OF CONTENTS</w:t>
      </w:r>
    </w:p>
    <w:p>
      <w:pPr>
        <w:spacing w:line="252" w:lineRule="auto" w:after="40"/>
      </w:pPr>
      <w:r>
        <w:rPr>
          <w:sz w:val="20"/>
        </w:rPr>
        <w:t xml:space="preserve">ABSTRACT </w:t>
      </w:r>
      <w:r>
        <w:rPr>
          <w:color w:val="A0A0A0"/>
          <w:sz w:val="18"/>
        </w:rPr>
        <w:t xml:space="preserve">.................................................................. </w:t>
      </w:r>
      <w:r>
        <w:rPr>
          <w:b/>
          <w:sz w:val="20"/>
        </w:rPr>
        <w:t>i</w:t>
      </w:r>
    </w:p>
    <w:p>
      <w:pPr>
        <w:spacing w:line="252" w:lineRule="auto" w:after="40"/>
      </w:pPr>
      <w:r>
        <w:rPr>
          <w:sz w:val="20"/>
        </w:rPr>
        <w:t xml:space="preserve">1. INTRODUCTION </w:t>
      </w:r>
      <w:r>
        <w:rPr>
          <w:color w:val="A0A0A0"/>
          <w:sz w:val="18"/>
        </w:rPr>
        <w:t xml:space="preserve">........................................................... </w:t>
      </w:r>
      <w:r>
        <w:rPr>
          <w:b/>
          <w:sz w:val="20"/>
        </w:rPr>
        <w:t>1</w:t>
      </w:r>
    </w:p>
    <w:p>
      <w:pPr>
        <w:spacing w:line="252" w:lineRule="auto" w:after="40"/>
      </w:pPr>
      <w:r>
        <w:rPr>
          <w:sz w:val="20"/>
        </w:rPr>
        <w:t xml:space="preserve">   1.1 Background of the Research Area </w:t>
      </w:r>
      <w:r>
        <w:rPr>
          <w:color w:val="A0A0A0"/>
          <w:sz w:val="18"/>
        </w:rPr>
        <w:t xml:space="preserve">.................................... </w:t>
      </w:r>
      <w:r>
        <w:rPr>
          <w:b/>
          <w:sz w:val="20"/>
        </w:rPr>
        <w:t>1</w:t>
      </w:r>
    </w:p>
    <w:p>
      <w:pPr>
        <w:spacing w:line="252" w:lineRule="auto" w:after="40"/>
      </w:pPr>
      <w:r>
        <w:rPr>
          <w:sz w:val="20"/>
        </w:rPr>
        <w:t xml:space="preserve">   1.2 Research Problem Statement </w:t>
      </w:r>
      <w:r>
        <w:rPr>
          <w:color w:val="A0A0A0"/>
          <w:sz w:val="18"/>
        </w:rPr>
        <w:t xml:space="preserve">......................................... </w:t>
      </w:r>
      <w:r>
        <w:rPr>
          <w:b/>
          <w:sz w:val="20"/>
        </w:rPr>
        <w:t>1</w:t>
      </w:r>
    </w:p>
    <w:p>
      <w:pPr>
        <w:spacing w:line="252" w:lineRule="auto" w:after="40"/>
      </w:pPr>
      <w:r>
        <w:rPr>
          <w:sz w:val="20"/>
        </w:rPr>
        <w:t xml:space="preserve">   1.3 Research Objectives </w:t>
      </w:r>
      <w:r>
        <w:rPr>
          <w:color w:val="A0A0A0"/>
          <w:sz w:val="18"/>
        </w:rPr>
        <w:t xml:space="preserve">................................................ </w:t>
      </w:r>
      <w:r>
        <w:rPr>
          <w:b/>
          <w:sz w:val="20"/>
        </w:rPr>
        <w:t>2</w:t>
      </w:r>
    </w:p>
    <w:p>
      <w:pPr>
        <w:spacing w:line="252" w:lineRule="auto" w:after="40"/>
      </w:pPr>
      <w:r>
        <w:rPr>
          <w:sz w:val="20"/>
        </w:rPr>
        <w:t xml:space="preserve">   1.4 Significance of the Study </w:t>
      </w:r>
      <w:r>
        <w:rPr>
          <w:color w:val="A0A0A0"/>
          <w:sz w:val="18"/>
        </w:rPr>
        <w:t xml:space="preserve">.......................................... </w:t>
      </w:r>
      <w:r>
        <w:rPr>
          <w:b/>
          <w:sz w:val="20"/>
        </w:rPr>
        <w:t>2</w:t>
      </w:r>
    </w:p>
    <w:p>
      <w:pPr>
        <w:spacing w:line="252" w:lineRule="auto" w:after="40"/>
      </w:pPr>
      <w:r>
        <w:rPr>
          <w:sz w:val="20"/>
        </w:rPr>
        <w:t xml:space="preserve">   1.5 Scope and Assumptions </w:t>
      </w:r>
      <w:r>
        <w:rPr>
          <w:color w:val="A0A0A0"/>
          <w:sz w:val="18"/>
        </w:rPr>
        <w:t xml:space="preserve">.............................................. </w:t>
      </w:r>
      <w:r>
        <w:rPr>
          <w:b/>
          <w:sz w:val="20"/>
        </w:rPr>
        <w:t>2</w:t>
      </w:r>
    </w:p>
    <w:p>
      <w:pPr>
        <w:spacing w:line="252" w:lineRule="auto" w:after="40"/>
      </w:pPr>
      <w:r>
        <w:rPr>
          <w:sz w:val="20"/>
        </w:rPr>
        <w:t xml:space="preserve">2. METHODOLOGY </w:t>
      </w:r>
      <w:r>
        <w:rPr>
          <w:color w:val="A0A0A0"/>
          <w:sz w:val="18"/>
        </w:rPr>
        <w:t xml:space="preserve">............................................................ </w:t>
      </w:r>
      <w:r>
        <w:rPr>
          <w:b/>
          <w:sz w:val="20"/>
        </w:rPr>
        <w:t>3</w:t>
      </w:r>
    </w:p>
    <w:p>
      <w:pPr>
        <w:spacing w:line="252" w:lineRule="auto" w:after="40"/>
      </w:pPr>
      <w:r>
        <w:rPr>
          <w:sz w:val="20"/>
        </w:rPr>
        <w:t xml:space="preserve">   2.1 Machine Learning Pipeline </w:t>
      </w:r>
      <w:r>
        <w:rPr>
          <w:color w:val="A0A0A0"/>
          <w:sz w:val="18"/>
        </w:rPr>
        <w:t xml:space="preserve">.......................................... </w:t>
      </w:r>
      <w:r>
        <w:rPr>
          <w:b/>
          <w:sz w:val="20"/>
        </w:rPr>
        <w:t>3</w:t>
      </w:r>
    </w:p>
    <w:p>
      <w:pPr>
        <w:spacing w:line="252" w:lineRule="auto" w:after="40"/>
      </w:pPr>
      <w:r>
        <w:rPr>
          <w:sz w:val="20"/>
        </w:rPr>
        <w:t xml:space="preserve">   2.2 Mathematical Foundations </w:t>
      </w:r>
      <w:r>
        <w:rPr>
          <w:color w:val="A0A0A0"/>
          <w:sz w:val="18"/>
        </w:rPr>
        <w:t xml:space="preserve">........................................... </w:t>
      </w:r>
      <w:r>
        <w:rPr>
          <w:b/>
          <w:sz w:val="20"/>
        </w:rPr>
        <w:t>4</w:t>
      </w:r>
    </w:p>
    <w:p>
      <w:pPr>
        <w:spacing w:line="252" w:lineRule="auto" w:after="40"/>
      </w:pPr>
      <w:r>
        <w:rPr>
          <w:sz w:val="20"/>
        </w:rPr>
        <w:t xml:space="preserve">   2.3 Comprehensive Suite of 21 Algorithms </w:t>
      </w:r>
      <w:r>
        <w:rPr>
          <w:color w:val="A0A0A0"/>
          <w:sz w:val="18"/>
        </w:rPr>
        <w:t xml:space="preserve">............................... </w:t>
      </w:r>
      <w:r>
        <w:rPr>
          <w:b/>
          <w:sz w:val="20"/>
        </w:rPr>
        <w:t>4</w:t>
      </w:r>
    </w:p>
    <w:p>
      <w:pPr>
        <w:spacing w:line="252" w:lineRule="auto" w:after="40"/>
      </w:pPr>
      <w:r>
        <w:rPr>
          <w:sz w:val="20"/>
        </w:rPr>
        <w:t xml:space="preserve">   2.4 Hyperparameter Optimization &amp; Cross-Validation </w:t>
      </w:r>
      <w:r>
        <w:rPr>
          <w:color w:val="A0A0A0"/>
          <w:sz w:val="18"/>
        </w:rPr>
        <w:t xml:space="preserve">..................... </w:t>
      </w:r>
      <w:r>
        <w:rPr>
          <w:b/>
          <w:sz w:val="20"/>
        </w:rPr>
        <w:t>5</w:t>
      </w:r>
    </w:p>
    <w:p>
      <w:pPr>
        <w:spacing w:line="252" w:lineRule="auto" w:after="40"/>
      </w:pPr>
      <w:r>
        <w:rPr>
          <w:sz w:val="20"/>
        </w:rPr>
        <w:t xml:space="preserve">3. RESULTS AND DISCUSSION </w:t>
      </w:r>
      <w:r>
        <w:rPr>
          <w:color w:val="A0A0A0"/>
          <w:sz w:val="18"/>
        </w:rPr>
        <w:t xml:space="preserve">................................................. </w:t>
      </w:r>
      <w:r>
        <w:rPr>
          <w:b/>
          <w:sz w:val="20"/>
        </w:rPr>
        <w:t>5</w:t>
      </w:r>
    </w:p>
    <w:p>
      <w:pPr>
        <w:spacing w:line="252" w:lineRule="auto" w:after="40"/>
      </w:pPr>
      <w:r>
        <w:rPr>
          <w:sz w:val="20"/>
        </w:rPr>
        <w:t xml:space="preserve">   3.1 Empirical Multi-Metric Performance Comparison </w:t>
      </w:r>
      <w:r>
        <w:rPr>
          <w:color w:val="A0A0A0"/>
          <w:sz w:val="18"/>
        </w:rPr>
        <w:t xml:space="preserve">...................... </w:t>
      </w:r>
      <w:r>
        <w:rPr>
          <w:b/>
          <w:sz w:val="20"/>
        </w:rPr>
        <w:t>5</w:t>
      </w:r>
    </w:p>
    <w:p>
      <w:pPr>
        <w:spacing w:line="252" w:lineRule="auto" w:after="40"/>
      </w:pPr>
      <w:r>
        <w:rPr>
          <w:sz w:val="20"/>
        </w:rPr>
        <w:t xml:space="preserve">   3.2 Statistical Significance Analysis (Friedman &amp; Nemenyi Tests) </w:t>
      </w:r>
      <w:r>
        <w:rPr>
          <w:color w:val="A0A0A0"/>
          <w:sz w:val="18"/>
        </w:rPr>
        <w:t xml:space="preserve">....... </w:t>
      </w:r>
      <w:r>
        <w:rPr>
          <w:b/>
          <w:sz w:val="20"/>
        </w:rPr>
        <w:t>6</w:t>
      </w:r>
    </w:p>
    <w:p>
      <w:pPr>
        <w:spacing w:line="252" w:lineRule="auto" w:after="40"/>
      </w:pPr>
      <w:r>
        <w:rPr>
          <w:sz w:val="20"/>
        </w:rPr>
        <w:t xml:space="preserve">   3.3 Explainable AI (XAI) &amp; SHAP Risk Factor Attribution </w:t>
      </w:r>
      <w:r>
        <w:rPr>
          <w:color w:val="A0A0A0"/>
          <w:sz w:val="18"/>
        </w:rPr>
        <w:t xml:space="preserve">................ </w:t>
      </w:r>
      <w:r>
        <w:rPr>
          <w:b/>
          <w:sz w:val="20"/>
        </w:rPr>
        <w:t>6</w:t>
      </w:r>
    </w:p>
    <w:p>
      <w:pPr>
        <w:spacing w:line="252" w:lineRule="auto" w:after="40"/>
      </w:pPr>
      <w:r>
        <w:rPr>
          <w:sz w:val="20"/>
        </w:rPr>
        <w:t xml:space="preserve">   3.4 Latent Patient Phenotyping (Unsupervised Clustering) </w:t>
      </w:r>
      <w:r>
        <w:rPr>
          <w:color w:val="A0A0A0"/>
          <w:sz w:val="18"/>
        </w:rPr>
        <w:t xml:space="preserve">............... </w:t>
      </w:r>
      <w:r>
        <w:rPr>
          <w:b/>
          <w:sz w:val="20"/>
        </w:rPr>
        <w:t>7</w:t>
      </w:r>
    </w:p>
    <w:p>
      <w:pPr>
        <w:spacing w:line="252" w:lineRule="auto" w:after="40"/>
      </w:pPr>
      <w:r>
        <w:rPr>
          <w:sz w:val="20"/>
        </w:rPr>
        <w:t xml:space="preserve">   3.5 In-Depth Discussion of Findings &amp; Architectural Trade-offs </w:t>
      </w:r>
      <w:r>
        <w:rPr>
          <w:color w:val="A0A0A0"/>
          <w:sz w:val="18"/>
        </w:rPr>
        <w:t xml:space="preserve">......... </w:t>
      </w:r>
      <w:r>
        <w:rPr>
          <w:b/>
          <w:sz w:val="20"/>
        </w:rPr>
        <w:t>7</w:t>
      </w:r>
    </w:p>
    <w:p>
      <w:pPr>
        <w:spacing w:line="252" w:lineRule="auto" w:after="40"/>
      </w:pPr>
      <w:r>
        <w:rPr>
          <w:sz w:val="20"/>
        </w:rPr>
        <w:t xml:space="preserve">4. CONCLUSION AND RECOMMENDATIONS </w:t>
      </w:r>
      <w:r>
        <w:rPr>
          <w:color w:val="A0A0A0"/>
          <w:sz w:val="18"/>
        </w:rPr>
        <w:t xml:space="preserve">......................................... </w:t>
      </w:r>
      <w:r>
        <w:rPr>
          <w:b/>
          <w:sz w:val="20"/>
        </w:rPr>
        <w:t>8</w:t>
      </w:r>
    </w:p>
    <w:p>
      <w:pPr>
        <w:spacing w:line="252" w:lineRule="auto" w:after="40"/>
      </w:pPr>
      <w:r>
        <w:rPr>
          <w:sz w:val="20"/>
        </w:rPr>
        <w:t xml:space="preserve">   4.1 Summary of Key Findings </w:t>
      </w:r>
      <w:r>
        <w:rPr>
          <w:color w:val="A0A0A0"/>
          <w:sz w:val="18"/>
        </w:rPr>
        <w:t xml:space="preserve">............................................ </w:t>
      </w:r>
      <w:r>
        <w:rPr>
          <w:b/>
          <w:sz w:val="20"/>
        </w:rPr>
        <w:t>8</w:t>
      </w:r>
    </w:p>
    <w:p>
      <w:pPr>
        <w:spacing w:line="252" w:lineRule="auto" w:after="40"/>
      </w:pPr>
      <w:r>
        <w:rPr>
          <w:sz w:val="20"/>
        </w:rPr>
        <w:t xml:space="preserve">   4.2 Achievement of Research Objectives </w:t>
      </w:r>
      <w:r>
        <w:rPr>
          <w:color w:val="A0A0A0"/>
          <w:sz w:val="18"/>
        </w:rPr>
        <w:t xml:space="preserve">................................. </w:t>
      </w:r>
      <w:r>
        <w:rPr>
          <w:b/>
          <w:sz w:val="20"/>
        </w:rPr>
        <w:t>8</w:t>
      </w:r>
    </w:p>
    <w:p>
      <w:pPr>
        <w:spacing w:line="252" w:lineRule="auto" w:after="40"/>
      </w:pPr>
      <w:r>
        <w:rPr>
          <w:sz w:val="20"/>
        </w:rPr>
        <w:t xml:space="preserve">   4.3 Implications for Theory and Clinical Practice </w:t>
      </w:r>
      <w:r>
        <w:rPr>
          <w:color w:val="A0A0A0"/>
          <w:sz w:val="18"/>
        </w:rPr>
        <w:t xml:space="preserve">...................... </w:t>
      </w:r>
      <w:r>
        <w:rPr>
          <w:b/>
          <w:sz w:val="20"/>
        </w:rPr>
        <w:t>8</w:t>
      </w:r>
    </w:p>
    <w:p>
      <w:pPr>
        <w:spacing w:line="252" w:lineRule="auto" w:after="40"/>
      </w:pPr>
      <w:r>
        <w:rPr>
          <w:sz w:val="20"/>
        </w:rPr>
        <w:t xml:space="preserve">   4.4 Recommendations for Future Research &amp; Clinical Deployment </w:t>
      </w:r>
      <w:r>
        <w:rPr>
          <w:color w:val="A0A0A0"/>
          <w:sz w:val="18"/>
        </w:rPr>
        <w:t xml:space="preserve">.......... </w:t>
      </w:r>
      <w:r>
        <w:rPr>
          <w:b/>
          <w:sz w:val="20"/>
        </w:rPr>
        <w:t>9</w:t>
      </w:r>
    </w:p>
    <w:p>
      <w:pPr>
        <w:spacing w:line="252" w:lineRule="auto" w:after="40"/>
      </w:pPr>
      <w:r>
        <w:rPr>
          <w:sz w:val="20"/>
        </w:rPr>
        <w:t xml:space="preserve">5. REFERENCES </w:t>
      </w:r>
      <w:r>
        <w:rPr>
          <w:color w:val="A0A0A0"/>
          <w:sz w:val="18"/>
        </w:rPr>
        <w:t xml:space="preserve">............................................................. </w:t>
      </w:r>
      <w:r>
        <w:rPr>
          <w:b/>
          <w:sz w:val="20"/>
        </w:rPr>
        <w:t>9</w:t>
      </w:r>
    </w:p>
    <w:p>
      <w:pPr>
        <w:spacing w:line="252" w:lineRule="auto" w:after="40"/>
      </w:pPr>
      <w:r>
        <w:rPr>
          <w:sz w:val="20"/>
        </w:rPr>
        <w:t xml:space="preserve">APPENDICES </w:t>
      </w:r>
      <w:r>
        <w:rPr>
          <w:color w:val="A0A0A0"/>
          <w:sz w:val="18"/>
        </w:rPr>
        <w:t xml:space="preserve">............................................................... </w:t>
      </w:r>
      <w:r>
        <w:rPr>
          <w:b/>
          <w:sz w:val="20"/>
        </w:rPr>
        <w:t>10</w:t>
      </w:r>
    </w:p>
    <w:p>
      <w:pPr>
        <w:spacing w:line="252" w:lineRule="auto" w:after="40"/>
      </w:pPr>
      <w:r>
        <w:rPr>
          <w:sz w:val="20"/>
        </w:rPr>
        <w:t xml:space="preserve">   Appendix A: Complete 21-Algorithm Mathematical Formulations </w:t>
      </w:r>
      <w:r>
        <w:rPr>
          <w:color w:val="A0A0A0"/>
          <w:sz w:val="18"/>
        </w:rPr>
        <w:t xml:space="preserve">........... </w:t>
      </w:r>
      <w:r>
        <w:rPr>
          <w:b/>
          <w:sz w:val="20"/>
        </w:rPr>
        <w:t>10</w:t>
      </w:r>
    </w:p>
    <w:p>
      <w:pPr>
        <w:spacing w:line="252" w:lineRule="auto" w:after="40"/>
      </w:pPr>
      <w:r>
        <w:rPr>
          <w:sz w:val="20"/>
        </w:rPr>
        <w:t xml:space="preserve">   Appendix B: Software Architecture &amp; Codebase Structure </w:t>
      </w:r>
      <w:r>
        <w:rPr>
          <w:color w:val="A0A0A0"/>
          <w:sz w:val="18"/>
        </w:rPr>
        <w:t xml:space="preserve">................ </w:t>
      </w:r>
      <w:r>
        <w:rPr>
          <w:b/>
          <w:sz w:val="20"/>
        </w:rPr>
        <w:t>11</w:t>
      </w:r>
    </w:p>
    <w:p>
      <w:pPr>
        <w:spacing w:line="252" w:lineRule="auto" w:after="40"/>
      </w:pPr>
      <w:r>
        <w:rPr>
          <w:sz w:val="20"/>
        </w:rPr>
        <w:t xml:space="preserve">   Appendix C: Deployed Clinical Decision Support Web Application </w:t>
      </w:r>
      <w:r>
        <w:rPr>
          <w:color w:val="A0A0A0"/>
          <w:sz w:val="18"/>
        </w:rPr>
        <w:t xml:space="preserve">........ </w:t>
      </w:r>
      <w:r>
        <w:rPr>
          <w:b/>
          <w:sz w:val="20"/>
        </w:rPr>
        <w:t>12</w:t>
      </w:r>
    </w:p>
    <w:p>
      <w:r>
        <w:br w:type="page"/>
      </w:r>
    </w:p>
    <w:p>
      <w:pPr>
        <w:pStyle w:val="Heading1"/>
      </w:pPr>
      <w:r>
        <w:rPr>
          <w:rFonts w:ascii="Times New Roman" w:hAnsi="Times New Roman"/>
          <w:color w:val="0A285A"/>
        </w:rPr>
        <w:t>ABSTRACT</w:t>
      </w:r>
    </w:p>
    <w:p>
      <w:pPr>
        <w:jc w:val="both"/>
      </w:pPr>
      <w:r>
        <w:t>Cardiovascular diseases (CVDs) remain the leading cause of global mortality, responsible for an estimated 17.9 million deaths annually. While invasive coronary angiography serves as the gold standard for diagnosing coronary artery disease (CAD), its high financial cost, procedural risks, and specialist dependency create significant barriers in preliminary triage. This research presents CardioAI, an academically rigorous, multi-algorithmic machine learning platform and clinical decision support system (CDSS) for non-invasive cardiovascular risk prediction. Utilizing the authentic UCI Cleveland Clinic cohort (N = 303 patient records, 13 canonical clinical biomarkers), this study conducts an exhaustive comparative benchmark across 21 distinct machine learning algorithms spanning Generalized Linear Models (L1, L2, ElasticNet), metric-based classifiers (KNN), probabilistic models (Gaussian Naïve Bayes), kernel machines (Linear and RBF SVMs), decision trees (CART), bagged ensembles (Random Forest, Extra Trees), modern gradient boosters (AdaBoost, Gradient Boosting, XGBoost, LightGBM, CatBoost), deep artificial neural networks (MLP), dimensionality reduction pipelines (PCA + Logistic Regression, LDA), and unsupervised clustering architectures (K-Means, Hierarchical Agglomerative, DBSCAN).</w:t>
        <w:br/>
        <w:br/>
        <w:t>To mitigate data leakage and ensure clinical generalizability, all models were evaluated using Stratified 5-Fold Cross-Validation. Empirical results demonstrate that AdaBoost achieved superior diagnostic capability with a peak ROC-AUC of 97.19%, 90.16% test accuracy, and 92.86% sensitivity. Random Forest demonstrated the highest clinical safety profile with 96.43% diagnostic sensitivity (recall) and 95.00% ROC-AUC, effectively minimizing dangerous false negatives. Unsupervised K-Means clustering achieved an Adjusted Rand Index (ARI) of 0.4293 against ground truth, proving that latent patient phenotypes naturally bifurcate based on hemodynamic stress markers. To address the critical 'black-box' opacity of complex models, Explainable Artificial Intelligence (XAI) was implemented using SHAP (SHapley Additive exPlanations) TreeExplainer, revealing that exercise-induced ST depression (oldpeak), maximum heart rate (thalach), fluoroscopic vessel count (ca), and chest pain type (cp) serve as the primary drivers of cardiac risk. Finally, an interactive, production-ready Streamlit Clinical Decision Support System was deployed to Streamlit Community Cloud, enabling real-time risk stratification and patient-specific SHAP waterfall attribution.</w:t>
      </w:r>
    </w:p>
    <w:p>
      <w:pPr>
        <w:spacing w:after="280"/>
      </w:pPr>
      <w:r>
        <w:rPr>
          <w:b/>
        </w:rPr>
        <w:t xml:space="preserve">Keywords: </w:t>
      </w:r>
      <w:r>
        <w:t>Cardiovascular Disease Prediction, Machine Learning Benchmarking, Explainable AI (SHAP), Clinical Decision Support Systems, Ensemble Boosting, Algorithmic Stratification, Biomedical Informatics.</w:t>
      </w:r>
    </w:p>
    <w:p>
      <w:pPr>
        <w:pStyle w:val="Heading1"/>
      </w:pPr>
      <w:r>
        <w:rPr>
          <w:rFonts w:ascii="Times New Roman" w:hAnsi="Times New Roman"/>
          <w:color w:val="0A285A"/>
        </w:rPr>
        <w:t>1. INTRODUCTION</w:t>
      </w:r>
    </w:p>
    <w:p>
      <w:pPr>
        <w:pStyle w:val="Heading2"/>
      </w:pPr>
      <w:r>
        <w:t>1.1 Background of the Research Area</w:t>
      </w:r>
    </w:p>
    <w:p>
      <w:pPr>
        <w:jc w:val="both"/>
      </w:pPr>
      <w:r>
        <w:t>Cardiovascular diseases (CVDs) constitute the foremost category of non-communicable diseases globally, presenting a massive clinical and economic burden on global healthcare systems. According to the World Health Organization (WHO, 2023) and American Heart Association (AHA, 2023) epidemiological updates, ischemic heart disease and cerebrovascular accidents represent over 31% of all global fatalities. The underlying pathophysiology of ischemic heart disease involves atherosclerosis—the gradual accumulation of fibrofatty plaques within coronary arterial walls—which restricts blood flow and oxygenation to the myocardium, frequently culminating in acute myocardial infarction or chronic ischemic cardiomyopathy.</w:t>
      </w:r>
    </w:p>
    <w:p>
      <w:pPr>
        <w:jc w:val="both"/>
      </w:pPr>
      <w:r>
        <w:t>Conventional clinical diagnostic protocols predominantly rely upon coronary angiography, an invasive catheterization procedure capable of quantifying lumen stenosis (&gt;50% narrowing). While definitive, angiography entails substantial procedural risks (arterial dissection, contrast-induced nephropathy, radiation exposure), requires specialized cardiac catheterization facilities, and imposes prohibitive financial costs. Consequently, there is profound clinical interest in developing non-invasive, data-driven diagnostic systems capable of synthesizing routinely collected non-invasive clinical biomarkers (electrocardiography, exercise stress hemodynamics, fluoroscopy, blood serum panels) into highly accurate, preliminary diagnostic predictions.</w:t>
      </w:r>
    </w:p>
    <w:p>
      <w:pPr>
        <w:pStyle w:val="Heading2"/>
      </w:pPr>
      <w:r>
        <w:t>1.2 Research Problem Statement</w:t>
      </w:r>
    </w:p>
    <w:p>
      <w:pPr>
        <w:jc w:val="both"/>
      </w:pPr>
      <w:r>
        <w:t>Despite extensive clinical advancements, accurate non-invasive cardiovascular risk stratification remains fraught with challenges. Traditional clinical risk assessment tools, such as the Framingham Risk Score and the ACC/AHA Pooled Cohort Equations, rely on linear regression formulas over coarse demographic aggregates. These scores frequently exhibit limited calibration, poor cross-population generalizability, and an inability to model complex, non-linear interactions among multidimensional hemodynamic and exercise parameters (e.g., the synergistic relationship between ST-segment depression, peak heart rate, and chest pain classification).</w:t>
        <w:br/>
        <w:br/>
        <w:t>Furthermore, modern automated diagnostic research often suffers from three critical flaws: (1) evaluating a narrow subset of algorithms without comprehensive cross-paradigmatic benchmarking, (2) prioritizing raw classification accuracy while neglecting diagnostic sensitivity (recall) which is paramount to avoid life-threatening false negatives, and (3) deploying opaque 'black-box' architectures that lack clinical interpretability. This research resolves these challenges by systematically benchmarking 21 diverse algorithmic paradigms under Stratified 5-Fold Cross-Validation, integrating SHAP Explainable AI for transparent risk attribution, and deploying an interactive clinical decision support web application.</w:t>
      </w:r>
    </w:p>
    <w:p>
      <w:pPr>
        <w:pStyle w:val="Heading2"/>
      </w:pPr>
      <w:r>
        <w:t>1.3 Research Objectives</w:t>
      </w:r>
    </w:p>
    <w:p>
      <w:r>
        <w:t>General Objective:</w:t>
        <w:br/>
        <w:t>To develop, benchmark, interpret, and deploy a robust, multi-algorithmic machine learning platform and clinical decision support system for non-invasive cardiovascular risk prediction based on multidimensional clinical biomarkers.</w:t>
      </w:r>
    </w:p>
    <w:p>
      <w:r>
        <w:t>Specific Objectives:</w:t>
        <w:br/>
        <w:t>1. To ingest, clean, and standardize the authentic UCI Cleveland Clinic Heart Disease dataset across 13 clinical biomarkers.</w:t>
        <w:br/>
        <w:t>2. To mathematically formulate, implement, and benchmark 21 distinct machine learning algorithms across Generalized Linear Models, Kernel Machines, Ensemble Boosters, Deep Neural Networks, Dimensionality Reduction, and Unsupervised Clustering.</w:t>
        <w:br/>
        <w:t>3. To conduct rigorous empirical evaluation using Stratified 5-Fold Cross-Validation across multiple metrics (ROC-AUC, Precision-Recall AUC, Sensitivity, Specificity, F1-Score, and cross-validation stability).</w:t>
        <w:br/>
        <w:t>4. To perform non-parametric statistical significance testing (Friedman test with post-hoc Nemenyi analysis) to validate algorithmic ranking superiority.</w:t>
        <w:br/>
        <w:t>5. To implement Explainable AI (XAI) using SHAP TreeExplainer to quantify global biomarker importances and individual patient risk waterfall attributions.</w:t>
        <w:br/>
        <w:t>6. To architect and deploy a production-grade Streamlit web application (CardioAI) providing real-time clinical risk stratification and interactive model analytics.</w:t>
      </w:r>
    </w:p>
    <w:p>
      <w:pPr>
        <w:pStyle w:val="Heading2"/>
      </w:pPr>
      <w:r>
        <w:t>1.4 Significance of the Study</w:t>
      </w:r>
    </w:p>
    <w:p>
      <w:pPr>
        <w:jc w:val="both"/>
      </w:pPr>
      <w:r>
        <w:t>Academic &amp; Theoretical Significance:</w:t>
        <w:br/>
        <w:t>This study provides a rigorous, unified empirical benchmark across 21 diverse algorithmic paradigms on identical cross-validation folds, resolving literature ambiguities regarding the relative performance of tree ensembles versus deep neural networks and regularized linear models on tabular biomedical cohorts. Furthermore, the integration of unsupervised clustering against ground-truth labels validates how latent patient phenotypes emerge from clinical hemodynamics without supervision.</w:t>
        <w:br/>
        <w:br/>
        <w:t>Practical &amp; Societal Relevance:</w:t>
        <w:br/>
        <w:t>The deployed CardioAI decision support platform serves as a powerful, non-invasive triage instrument for clinicians, primary care physicians, and resource-constrained medical centers. By identifying high-risk CAD patients with 96.43% sensitivity prior to catheterization, healthcare providers can prioritize urgent interventions while avoiding unnecessary, costly invasive angiograms in low-risk individuals.</w:t>
      </w:r>
    </w:p>
    <w:p>
      <w:pPr>
        <w:pStyle w:val="Heading2"/>
      </w:pPr>
      <w:r>
        <w:t>1.5 Scope and Methodological Assumptions</w:t>
      </w:r>
    </w:p>
    <w:p>
      <w:pPr>
        <w:jc w:val="both"/>
      </w:pPr>
      <w:r>
        <w:t>Scope:</w:t>
        <w:br/>
        <w:t>The study is centered on the canonical Cleveland Clinic Foundation heart disease cohort consisting of 303 adult patients evaluated across 13 continuous, discrete, and categorical clinical features with binary diagnostic outcomes (presence vs. absence of &gt;50% coronary artery diameter stenosis).</w:t>
        <w:br/>
        <w:br/>
        <w:t>Methodological Assumptions:</w:t>
        <w:br/>
        <w:t>1. Gold Standard Validity: Coronary angiography findings recorded in the dataset are assumed to represent accurate clinical ground truth.</w:t>
        <w:br/>
        <w:t>2. Preprocessing Integrity: Feature scaling parameters (StandardScaler) are computed exclusively on training folds to strictly prevent data leakage.</w:t>
        <w:br/>
        <w:t>3. Representativeness: The clinical parameters captured during resting ECG, exercise treadmill testing, and fluoroscopy reflect standard non-invasive cardiology workups.</w:t>
      </w:r>
    </w:p>
    <w:p>
      <w:pPr>
        <w:pStyle w:val="Heading1"/>
      </w:pPr>
      <w:r>
        <w:rPr>
          <w:rFonts w:ascii="Times New Roman" w:hAnsi="Times New Roman"/>
          <w:color w:val="0A285A"/>
        </w:rPr>
        <w:t>2. METHODOLOGY</w:t>
      </w:r>
    </w:p>
    <w:p>
      <w:pPr>
        <w:pStyle w:val="Heading2"/>
      </w:pPr>
      <w:r>
        <w:t>2.1 Machine Learning Pipeline Architecture</w:t>
      </w:r>
    </w:p>
    <w:p>
      <w:pPr>
        <w:jc w:val="both"/>
      </w:pPr>
      <w:r>
        <w:t>The experimental architecture follows a rigorous, reproducible multi-stage pipeline comprising: (1) Data Acquisition &amp; Ingestion, (2) Clinical Data Cleaning &amp; Imputation, (3) Feature Standardization, (4) Stratified 80/20 Train-Test Partitioning, (5) Stratified 5-Fold Cross-Validation, (6) 21-Model Training &amp; Serialization, (7) Multi-Metric Benchmark Computation, (8) Global and Local SHAP Explainability Engine, and (9) Web Application Integration.</w:t>
      </w:r>
    </w:p>
    <w:p>
      <w:r>
        <w:t>Dataset Description &amp; Feature Space (UCI Cleveland Clinic Cohort):</w:t>
        <w:br/>
        <w:t>The cohort encompasses N = 303 patient records (164 healthy subjects [54.1%], 139 CAD-positive patients [45.9%]). The 13 canonical predictor attributes are:</w:t>
        <w:br/>
        <w:t>• age: Chronological age in years (Range: 29 - 77)</w:t>
        <w:br/>
        <w:t>• sex: Biological sex (0 = Female, 1 = Male)</w:t>
        <w:br/>
        <w:t>• cp: Chest pain type (0: Typical Angina, 1: Atypical Angina, 2: Non-anginal pain, 3: Asymptomatic)</w:t>
        <w:br/>
        <w:t>• trestbps: Resting systolic blood pressure on hospital admission (Range: 94 - 200 mm Hg)</w:t>
        <w:br/>
        <w:t>• chol: Serum total cholesterol (Range: 126 - 564 mg/dl)</w:t>
        <w:br/>
        <w:t>• fbs: Fasting blood glucose &gt; 120 mg/dl (1 = Elevated, 0 = Normal)</w:t>
        <w:br/>
        <w:t>• restecg: Resting electrocardiographic results (0: Normal, 1: ST-T wave abnormality, 2: Left ventricular hypertrophy)</w:t>
        <w:br/>
        <w:t>• thalach: Maximum heart rate achieved during exercise treadmill test (Range: 71 - 202 bpm)</w:t>
        <w:br/>
        <w:t>• exang: Exercise-induced angina (1 = Yes, 0 = No)</w:t>
        <w:br/>
        <w:t>• oldpeak: ST depression induced by exercise relative to rest (Range: 0.0 - 6.2 mm)</w:t>
        <w:br/>
        <w:t>• slope: Slope of peak exercise ST segment (0: Upsloping, 1: Flat, 2: Downsloping)</w:t>
        <w:br/>
        <w:t>• ca: Number of major vessels (0-3) colored by fluoroscopy</w:t>
        <w:br/>
        <w:t>• thal: Thallium-201 scintigraphy scan (0: Normal Perfusion, 1: Fixed Defect, 2: Reversible Defect)</w:t>
        <w:br/>
        <w:t>• target: Binary diagnosis of coronary artery disease (0: &lt;50% stenosis [Healthy], 1: &gt;50% stenosis [CAD Positive])</w:t>
      </w:r>
    </w:p>
    <w:p>
      <w:pPr>
        <w:pStyle w:val="Heading2"/>
      </w:pPr>
      <w:r>
        <w:t>2.2 Mathematical Foundations &amp; Formal Formulations</w:t>
      </w:r>
    </w:p>
    <w:p>
      <w:r>
        <w:t>1. Binary Classification Formalization:</w:t>
        <w:br/>
        <w:t>Let X ∈ R^(n × m) denote the feature matrix comprising n = 303 patient instances and m = 13 clinical biomarkers. Let y ∈ {0, 1}^n represent the corresponding binary ground-truth diagnostic label. The objective is to estimate an optimal mapping hypothesis f_θ: X → [0, 1] parameterized by θ that minimizes an empirical risk objective function L(y, f_θ(X)) subject to regularization R(θ):</w:t>
        <w:br/>
        <w:t>min_θ { (1/n) Σ L(y_i, f_θ(x_i)) + λ R(θ) }</w:t>
      </w:r>
    </w:p>
    <w:p>
      <w:r>
        <w:t>2. Regularized Logistic Regression Loss Formulations:</w:t>
        <w:br/>
        <w:t>• L2 (Ridge) Objective: min_w { - (1/n) Σ [y_i ln(p_i) + (1 - y_i) ln(1 - p_i)] + (λ/2) ||w||_2^2 }</w:t>
        <w:br/>
        <w:t>• L1 (Lasso / Sparse Feature Selection) Objective: min_w { - (1/n) Σ [y_i ln(p_i) + (1 - y_i) ln(1 - p_i)] + λ ||w||_1 }</w:t>
        <w:br/>
        <w:t>• ElasticNet Objective: min_w { - (1/n) Σ [y_i ln(p_i) + (1 - y_i) ln(1 - p_i)] + λ [α ||w||_1 + ((1 - α)/2) ||w||_2^2] }</w:t>
        <w:br/>
        <w:t>where p_i = σ(w^T x_i + b) = 1 / (1 + exp(-(w^T x_i + b))).</w:t>
      </w:r>
    </w:p>
    <w:p>
      <w:r>
        <w:t>3. Support Vector Machine (Soft-Margin Optimization &amp; RBF Kernel):</w:t>
        <w:br/>
        <w:t>min_{w, b, ξ} { (1/2) ||w||_2^2 + C Σ ξ_i }  subject to  y_i (w^T Φ(x_i) + b) ≥ 1 - ξ_i,  ξ_i ≥ 0</w:t>
        <w:br/>
        <w:t>where the non-linear Radial Basis Function (RBF) kernel is defined as K(x_i, x_j) = exp(-γ ||x_i - x_j||_2^2).</w:t>
      </w:r>
    </w:p>
    <w:p>
      <w:r>
        <w:t>4. Decision Tree &amp; Ensemble Impurity Objectives:</w:t>
        <w:br/>
        <w:t>• Gini Impurity: I_G(D) = 1 - Σ_{k=0}^1 p_k^2</w:t>
        <w:br/>
        <w:t>• Cross-Entropy Impurity: I_E(D) = - Σ_{k=0}^1 p_k log_2(p_k)</w:t>
        <w:br/>
        <w:t>• Gradient Tree Boosting: At step m, fit tree h_m(x) to pseudo-residuals r_{im} = - [ ∂L(y_i, F(x_i)) / ∂F(x_i) ]_{F(x) = F_{m-1}(x)}.</w:t>
      </w:r>
    </w:p>
    <w:p>
      <w:r>
        <w:t>5. Mathematical Formulation of Evaluation Metrics:</w:t>
        <w:br/>
        <w:t>• Accuracy = (TP + TN) / (TP + TN + FP + FN)</w:t>
        <w:br/>
        <w:t>• Sensitivity / Recall = TP / (TP + FN)  [Critical for avoiding lethal false negatives in clinical triage]</w:t>
        <w:br/>
        <w:t>• Specificity = TN / (TN + FP)  [True negative rate]</w:t>
        <w:br/>
        <w:t>• Precision = TP / (TP + FP)  [Positive Predictive Value]</w:t>
        <w:br/>
        <w:t>• F1-Score = 2 × (Precision × Recall) / (Precision + Recall) = 2 TP / (2 TP + FP + FN)</w:t>
        <w:br/>
        <w:t>• ROC-AUC = ∫_0^1 TPR(FPR^(-1)(t)) dt</w:t>
        <w:br/>
        <w:t>• Silhouette Coefficient: s(i) = (b(i) - a(i)) / max(a(i), b(i))</w:t>
        <w:br/>
        <w:t>• Adjusted Rand Index (ARI): ARI = (Index - ExpectedIndex) / (MaxIndex - ExpectedIndex)</w:t>
      </w:r>
    </w:p>
    <w:p>
      <w:pPr>
        <w:pStyle w:val="Heading2"/>
      </w:pPr>
      <w:r>
        <w:t>2.3 Comprehensive Suite of 21 Machine Learning Algorithms</w:t>
      </w:r>
    </w:p>
    <w:p>
      <w:r>
        <w:t>To ensure exhaustive algorithmic representation, 21 distinct algorithms across 6 core machine learning paradigms were implemented:</w:t>
        <w:br/>
        <w:t>A. Generalized Linear Models (GLMs):</w:t>
        <w:br/>
        <w:t>1. Logistic Regression (L2 / Ridge Penalty)</w:t>
        <w:br/>
        <w:t>2. Logistic Regression (L1 / Lasso Sparse Penalty)</w:t>
        <w:br/>
        <w:t>3. Logistic Regression (ElasticNet Combined Regularization)</w:t>
        <w:br/>
        <w:br/>
        <w:t>B. Instance-Based &amp; Probabilistic Classifiers:</w:t>
        <w:br/>
        <w:t>4. Gaussian Naïve Bayes (Gaussian Likelihood Estimation)</w:t>
        <w:br/>
        <w:t>5. k-Nearest Neighbors (KNN with k=5, Minkowski metric)</w:t>
        <w:br/>
        <w:t>6. Support Vector Machine (Linear Hyperplane Kernel)</w:t>
        <w:br/>
        <w:t>7. Support Vector Machine (Non-linear Radial Basis Function Kernel)</w:t>
        <w:br/>
        <w:br/>
        <w:t>C. Tree-Based Classifiers &amp; Ensemble Architectures:</w:t>
        <w:br/>
        <w:t>8. Decision Tree Classifier (CART with Gini Criterion, max_depth=5)</w:t>
        <w:br/>
        <w:t>9. Random Forest Classifier (150 bagged decorrelated decision trees)</w:t>
        <w:br/>
        <w:t>10. Extra Trees Classifier (Extremely Randomized Trees with random threshold splits)</w:t>
        <w:br/>
        <w:t>11. AdaBoost Classifier (Sequential Adaptive Sample Weighting, 100 estimators)</w:t>
        <w:br/>
        <w:t>12. Gradient Boosting Machine (Scikit-Learn GBM, 120 estimators, lr=0.08)</w:t>
        <w:br/>
        <w:t>13. Extreme Gradient Boosting (XGBoost with 2nd-order Taylor loss expansion)</w:t>
        <w:br/>
        <w:t>14. LightGBM (Leaf-wise tree growth with histogram binning)</w:t>
        <w:br/>
        <w:t>15. CatBoost (Oblivious decision trees with symmetric split structures)</w:t>
        <w:br/>
        <w:br/>
        <w:t>D. Deep Learning / Artificial Neural Networks:</w:t>
        <w:br/>
        <w:t>16. Multi-Layer Perceptron (ANN: 64-32 architecture, ReLU activations, Adam optimizer, early stopping)</w:t>
        <w:br/>
        <w:br/>
        <w:t>E. Dimensionality Reduction + Supervised Classification:</w:t>
        <w:br/>
        <w:t>17. Principal Component Analysis (PCA with 6 orthogonal components) + Logistic Regression</w:t>
        <w:br/>
        <w:t>18. Linear Discriminant Analysis (LDA with Singular Value Decomposition)</w:t>
        <w:br/>
        <w:br/>
        <w:t>F. Unsupervised Latent Clustering:</w:t>
        <w:br/>
        <w:t>19. K-Means Clustering (Lloyd's algorithm with k=2, n_init=10)</w:t>
        <w:br/>
        <w:t>20. Hierarchical Agglomerative Clustering (Ward's minimum variance linkage)</w:t>
        <w:br/>
        <w:t>21. DBSCAN (Density-Based Spatial Clustering with eps=2.5, min_samples=4)</w:t>
      </w:r>
    </w:p>
    <w:p>
      <w:pPr>
        <w:pStyle w:val="Heading2"/>
      </w:pPr>
      <w:r>
        <w:t>2.4 Hyperparameter Optimization &amp; Stratified Cross-Validation</w:t>
      </w:r>
    </w:p>
    <w:p>
      <w:pPr>
        <w:jc w:val="both"/>
      </w:pPr>
      <w:r>
        <w:t>A strict Stratified 80/20 train-test partitioning was implemented (242 training instances, 61 testing instances), preserving the 54.1%/45.9% class balance. Within the training fold, Stratified 5-Fold Cross-Validation was conducted across all 18 supervised algorithms. Feature standardization (StandardScaler) was fitted strictly on the training partition and subsequently applied to transform test instances, ensuring complete isolation and zero data leakage.</w:t>
      </w:r>
    </w:p>
    <w:p>
      <w:pPr>
        <w:pStyle w:val="Heading1"/>
      </w:pPr>
      <w:r>
        <w:rPr>
          <w:rFonts w:ascii="Times New Roman" w:hAnsi="Times New Roman"/>
          <w:color w:val="0A285A"/>
        </w:rPr>
        <w:t>3. RESULTS AND DISCUSSION</w:t>
      </w:r>
    </w:p>
    <w:p>
      <w:pPr>
        <w:pStyle w:val="Heading2"/>
      </w:pPr>
      <w:r>
        <w:t>3.1 Empirical Multi-Metric Performance Comparison</w:t>
      </w:r>
    </w:p>
    <w:p>
      <w:r>
        <w:t>Table 1 summarizes the empirical performance metrics across all evaluated supervised and ensemble architectures on the authentic test partition (N = 61) and 5-Fold Cross-Validation, sorted by ROC-AUC.</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fill="0A285A"/>
            <w:tcMar>
              <w:top w:w="120" w:type="dxa"/>
              <w:bottom w:w="120" w:type="dxa"/>
              <w:left w:w="100" w:type="dxa"/>
              <w:right w:w="100" w:type="dxa"/>
            </w:tcMar>
          </w:tcPr>
          <w:p>
            <w:r>
              <w:rPr>
                <w:b/>
                <w:color w:val="FFFFFF"/>
                <w:sz w:val="19"/>
              </w:rPr>
              <w:t>Algorithm</w:t>
            </w:r>
          </w:p>
        </w:tc>
        <w:tc>
          <w:tcPr>
            <w:tcW w:type="dxa" w:w="1152"/>
            <w:shd w:fill="0A285A"/>
            <w:tcMar>
              <w:top w:w="120" w:type="dxa"/>
              <w:bottom w:w="120" w:type="dxa"/>
              <w:left w:w="100" w:type="dxa"/>
              <w:right w:w="100" w:type="dxa"/>
            </w:tcMar>
          </w:tcPr>
          <w:p>
            <w:r>
              <w:rPr>
                <w:b/>
                <w:color w:val="FFFFFF"/>
                <w:sz w:val="19"/>
              </w:rPr>
              <w:t>ROC-AUC</w:t>
            </w:r>
          </w:p>
        </w:tc>
        <w:tc>
          <w:tcPr>
            <w:tcW w:type="dxa" w:w="1152"/>
            <w:shd w:fill="0A285A"/>
            <w:tcMar>
              <w:top w:w="120" w:type="dxa"/>
              <w:bottom w:w="120" w:type="dxa"/>
              <w:left w:w="100" w:type="dxa"/>
              <w:right w:w="100" w:type="dxa"/>
            </w:tcMar>
          </w:tcPr>
          <w:p>
            <w:r>
              <w:rPr>
                <w:b/>
                <w:color w:val="FFFFFF"/>
                <w:sz w:val="19"/>
              </w:rPr>
              <w:t>Accuracy</w:t>
            </w:r>
          </w:p>
        </w:tc>
        <w:tc>
          <w:tcPr>
            <w:tcW w:type="dxa" w:w="1296"/>
            <w:shd w:fill="0A285A"/>
            <w:tcMar>
              <w:top w:w="120" w:type="dxa"/>
              <w:bottom w:w="120" w:type="dxa"/>
              <w:left w:w="100" w:type="dxa"/>
              <w:right w:w="100" w:type="dxa"/>
            </w:tcMar>
          </w:tcPr>
          <w:p>
            <w:r>
              <w:rPr>
                <w:b/>
                <w:color w:val="FFFFFF"/>
                <w:sz w:val="19"/>
              </w:rPr>
              <w:t>Sensitivity</w:t>
            </w:r>
          </w:p>
        </w:tc>
        <w:tc>
          <w:tcPr>
            <w:tcW w:type="dxa" w:w="1152"/>
            <w:shd w:fill="0A285A"/>
            <w:tcMar>
              <w:top w:w="120" w:type="dxa"/>
              <w:bottom w:w="120" w:type="dxa"/>
              <w:left w:w="100" w:type="dxa"/>
              <w:right w:w="100" w:type="dxa"/>
            </w:tcMar>
          </w:tcPr>
          <w:p>
            <w:r>
              <w:rPr>
                <w:b/>
                <w:color w:val="FFFFFF"/>
                <w:sz w:val="19"/>
              </w:rPr>
              <w:t>Specificity</w:t>
            </w:r>
          </w:p>
        </w:tc>
        <w:tc>
          <w:tcPr>
            <w:tcW w:type="dxa" w:w="1152"/>
            <w:shd w:fill="0A285A"/>
            <w:tcMar>
              <w:top w:w="120" w:type="dxa"/>
              <w:bottom w:w="120" w:type="dxa"/>
              <w:left w:w="100" w:type="dxa"/>
              <w:right w:w="100" w:type="dxa"/>
            </w:tcMar>
          </w:tcPr>
          <w:p>
            <w:r>
              <w:rPr>
                <w:b/>
                <w:color w:val="FFFFFF"/>
                <w:sz w:val="19"/>
              </w:rPr>
              <w:t>F1-Score</w:t>
            </w:r>
          </w:p>
        </w:tc>
        <w:tc>
          <w:tcPr>
            <w:tcW w:type="dxa" w:w="1584"/>
            <w:shd w:fill="0A285A"/>
            <w:tcMar>
              <w:top w:w="120" w:type="dxa"/>
              <w:bottom w:w="120" w:type="dxa"/>
              <w:left w:w="100" w:type="dxa"/>
              <w:right w:w="100" w:type="dxa"/>
            </w:tcMar>
          </w:tcPr>
          <w:p>
            <w:r>
              <w:rPr>
                <w:b/>
                <w:color w:val="FFFFFF"/>
                <w:sz w:val="19"/>
              </w:rPr>
              <w:t>5-Fold CV</w:t>
            </w:r>
          </w:p>
        </w:tc>
      </w:tr>
      <w:tr>
        <w:tc>
          <w:tcPr>
            <w:tcW w:type="dxa" w:w="2592"/>
            <w:tcMar>
              <w:top w:w="80" w:type="dxa"/>
              <w:bottom w:w="80" w:type="dxa"/>
              <w:left w:w="100" w:type="dxa"/>
              <w:right w:w="100" w:type="dxa"/>
            </w:tcMar>
          </w:tcPr>
          <w:p>
            <w:r>
              <w:rPr>
                <w:sz w:val="18"/>
              </w:rPr>
              <w:t>AdaBoost</w:t>
            </w:r>
          </w:p>
        </w:tc>
        <w:tc>
          <w:tcPr>
            <w:tcW w:type="dxa" w:w="1152"/>
            <w:tcMar>
              <w:top w:w="80" w:type="dxa"/>
              <w:bottom w:w="80" w:type="dxa"/>
              <w:left w:w="100" w:type="dxa"/>
              <w:right w:w="100" w:type="dxa"/>
            </w:tcMar>
          </w:tcPr>
          <w:p>
            <w:r>
              <w:rPr>
                <w:sz w:val="18"/>
              </w:rPr>
              <w:t>97.19%</w:t>
            </w:r>
          </w:p>
        </w:tc>
        <w:tc>
          <w:tcPr>
            <w:tcW w:type="dxa" w:w="1152"/>
            <w:tcMar>
              <w:top w:w="80" w:type="dxa"/>
              <w:bottom w:w="80" w:type="dxa"/>
              <w:left w:w="100" w:type="dxa"/>
              <w:right w:w="100" w:type="dxa"/>
            </w:tcMar>
          </w:tcPr>
          <w:p>
            <w:r>
              <w:rPr>
                <w:sz w:val="18"/>
              </w:rPr>
              <w:t>90.16%</w:t>
            </w:r>
          </w:p>
        </w:tc>
        <w:tc>
          <w:tcPr>
            <w:tcW w:type="dxa" w:w="1296"/>
            <w:tcMar>
              <w:top w:w="80" w:type="dxa"/>
              <w:bottom w:w="80" w:type="dxa"/>
              <w:left w:w="100" w:type="dxa"/>
              <w:right w:w="100" w:type="dxa"/>
            </w:tcMar>
          </w:tcPr>
          <w:p>
            <w:r>
              <w:rPr>
                <w:sz w:val="18"/>
              </w:rPr>
              <w:t>92.86%</w:t>
            </w:r>
          </w:p>
        </w:tc>
        <w:tc>
          <w:tcPr>
            <w:tcW w:type="dxa" w:w="1152"/>
            <w:tcMar>
              <w:top w:w="80" w:type="dxa"/>
              <w:bottom w:w="80" w:type="dxa"/>
              <w:left w:w="100" w:type="dxa"/>
              <w:right w:w="100" w:type="dxa"/>
            </w:tcMar>
          </w:tcPr>
          <w:p>
            <w:r>
              <w:rPr>
                <w:sz w:val="18"/>
              </w:rPr>
              <w:t>87.88%</w:t>
            </w:r>
          </w:p>
        </w:tc>
        <w:tc>
          <w:tcPr>
            <w:tcW w:type="dxa" w:w="1152"/>
            <w:tcMar>
              <w:top w:w="80" w:type="dxa"/>
              <w:bottom w:w="80" w:type="dxa"/>
              <w:left w:w="100" w:type="dxa"/>
              <w:right w:w="100" w:type="dxa"/>
            </w:tcMar>
          </w:tcPr>
          <w:p>
            <w:r>
              <w:rPr>
                <w:sz w:val="18"/>
              </w:rPr>
              <w:t>0.8966</w:t>
            </w:r>
          </w:p>
        </w:tc>
        <w:tc>
          <w:tcPr>
            <w:tcW w:type="dxa" w:w="1584"/>
            <w:tcMar>
              <w:top w:w="80" w:type="dxa"/>
              <w:bottom w:w="80" w:type="dxa"/>
              <w:left w:w="100" w:type="dxa"/>
              <w:right w:w="100" w:type="dxa"/>
            </w:tcMar>
          </w:tcPr>
          <w:p>
            <w:r>
              <w:rPr>
                <w:sz w:val="18"/>
              </w:rPr>
              <w:t>81.4% ± 5.5%</w:t>
            </w:r>
          </w:p>
        </w:tc>
      </w:tr>
      <w:tr>
        <w:tc>
          <w:tcPr>
            <w:tcW w:type="dxa" w:w="2592"/>
            <w:shd w:fill="F2F5FA"/>
            <w:tcMar>
              <w:top w:w="80" w:type="dxa"/>
              <w:bottom w:w="80" w:type="dxa"/>
              <w:left w:w="100" w:type="dxa"/>
              <w:right w:w="100" w:type="dxa"/>
            </w:tcMar>
          </w:tcPr>
          <w:p>
            <w:r>
              <w:rPr>
                <w:sz w:val="18"/>
              </w:rPr>
              <w:t>LightGBM</w:t>
            </w:r>
          </w:p>
        </w:tc>
        <w:tc>
          <w:tcPr>
            <w:tcW w:type="dxa" w:w="1152"/>
            <w:shd w:fill="F2F5FA"/>
            <w:tcMar>
              <w:top w:w="80" w:type="dxa"/>
              <w:bottom w:w="80" w:type="dxa"/>
              <w:left w:w="100" w:type="dxa"/>
              <w:right w:w="100" w:type="dxa"/>
            </w:tcMar>
          </w:tcPr>
          <w:p>
            <w:r>
              <w:rPr>
                <w:sz w:val="18"/>
              </w:rPr>
              <w:t>95.56%</w:t>
            </w:r>
          </w:p>
        </w:tc>
        <w:tc>
          <w:tcPr>
            <w:tcW w:type="dxa" w:w="1152"/>
            <w:shd w:fill="F2F5FA"/>
            <w:tcMar>
              <w:top w:w="80" w:type="dxa"/>
              <w:bottom w:w="80" w:type="dxa"/>
              <w:left w:w="100" w:type="dxa"/>
              <w:right w:w="100" w:type="dxa"/>
            </w:tcMar>
          </w:tcPr>
          <w:p>
            <w:r>
              <w:rPr>
                <w:sz w:val="18"/>
              </w:rPr>
              <w:t>88.52%</w:t>
            </w:r>
          </w:p>
        </w:tc>
        <w:tc>
          <w:tcPr>
            <w:tcW w:type="dxa" w:w="1296"/>
            <w:shd w:fill="F2F5FA"/>
            <w:tcMar>
              <w:top w:w="80" w:type="dxa"/>
              <w:bottom w:w="80" w:type="dxa"/>
              <w:left w:w="100" w:type="dxa"/>
              <w:right w:w="100" w:type="dxa"/>
            </w:tcMar>
          </w:tcPr>
          <w:p>
            <w:r>
              <w:rPr>
                <w:sz w:val="18"/>
              </w:rPr>
              <w:t>92.86%</w:t>
            </w:r>
          </w:p>
        </w:tc>
        <w:tc>
          <w:tcPr>
            <w:tcW w:type="dxa" w:w="1152"/>
            <w:shd w:fill="F2F5FA"/>
            <w:tcMar>
              <w:top w:w="80" w:type="dxa"/>
              <w:bottom w:w="80" w:type="dxa"/>
              <w:left w:w="100" w:type="dxa"/>
              <w:right w:w="100" w:type="dxa"/>
            </w:tcMar>
          </w:tcPr>
          <w:p>
            <w:r>
              <w:rPr>
                <w:sz w:val="18"/>
              </w:rPr>
              <w:t>84.85%</w:t>
            </w:r>
          </w:p>
        </w:tc>
        <w:tc>
          <w:tcPr>
            <w:tcW w:type="dxa" w:w="1152"/>
            <w:shd w:fill="F2F5FA"/>
            <w:tcMar>
              <w:top w:w="80" w:type="dxa"/>
              <w:bottom w:w="80" w:type="dxa"/>
              <w:left w:w="100" w:type="dxa"/>
              <w:right w:w="100" w:type="dxa"/>
            </w:tcMar>
          </w:tcPr>
          <w:p>
            <w:r>
              <w:rPr>
                <w:sz w:val="18"/>
              </w:rPr>
              <w:t>0.8814</w:t>
            </w:r>
          </w:p>
        </w:tc>
        <w:tc>
          <w:tcPr>
            <w:tcW w:type="dxa" w:w="1584"/>
            <w:shd w:fill="F2F5FA"/>
            <w:tcMar>
              <w:top w:w="80" w:type="dxa"/>
              <w:bottom w:w="80" w:type="dxa"/>
              <w:left w:w="100" w:type="dxa"/>
              <w:right w:w="100" w:type="dxa"/>
            </w:tcMar>
          </w:tcPr>
          <w:p>
            <w:r>
              <w:rPr>
                <w:sz w:val="18"/>
              </w:rPr>
              <w:t>78.5% ± 3.5%</w:t>
            </w:r>
          </w:p>
        </w:tc>
      </w:tr>
      <w:tr>
        <w:tc>
          <w:tcPr>
            <w:tcW w:type="dxa" w:w="2592"/>
            <w:tcMar>
              <w:top w:w="80" w:type="dxa"/>
              <w:bottom w:w="80" w:type="dxa"/>
              <w:left w:w="100" w:type="dxa"/>
              <w:right w:w="100" w:type="dxa"/>
            </w:tcMar>
          </w:tcPr>
          <w:p>
            <w:r>
              <w:rPr>
                <w:sz w:val="18"/>
              </w:rPr>
              <w:t>Logistic_Regression_L2</w:t>
            </w:r>
          </w:p>
        </w:tc>
        <w:tc>
          <w:tcPr>
            <w:tcW w:type="dxa" w:w="1152"/>
            <w:tcMar>
              <w:top w:w="80" w:type="dxa"/>
              <w:bottom w:w="80" w:type="dxa"/>
              <w:left w:w="100" w:type="dxa"/>
              <w:right w:w="100" w:type="dxa"/>
            </w:tcMar>
          </w:tcPr>
          <w:p>
            <w:r>
              <w:rPr>
                <w:sz w:val="18"/>
              </w:rPr>
              <w:t>95.35%</w:t>
            </w:r>
          </w:p>
        </w:tc>
        <w:tc>
          <w:tcPr>
            <w:tcW w:type="dxa" w:w="1152"/>
            <w:tcMar>
              <w:top w:w="80" w:type="dxa"/>
              <w:bottom w:w="80" w:type="dxa"/>
              <w:left w:w="100" w:type="dxa"/>
              <w:right w:w="100" w:type="dxa"/>
            </w:tcMar>
          </w:tcPr>
          <w:p>
            <w:r>
              <w:rPr>
                <w:sz w:val="18"/>
              </w:rPr>
              <w:t>86.89%</w:t>
            </w:r>
          </w:p>
        </w:tc>
        <w:tc>
          <w:tcPr>
            <w:tcW w:type="dxa" w:w="1296"/>
            <w:tcMar>
              <w:top w:w="80" w:type="dxa"/>
              <w:bottom w:w="80" w:type="dxa"/>
              <w:left w:w="100" w:type="dxa"/>
              <w:right w:w="100" w:type="dxa"/>
            </w:tcMar>
          </w:tcPr>
          <w:p>
            <w:r>
              <w:rPr>
                <w:sz w:val="18"/>
              </w:rPr>
              <w:t>92.86%</w:t>
            </w:r>
          </w:p>
        </w:tc>
        <w:tc>
          <w:tcPr>
            <w:tcW w:type="dxa" w:w="1152"/>
            <w:tcMar>
              <w:top w:w="80" w:type="dxa"/>
              <w:bottom w:w="80" w:type="dxa"/>
              <w:left w:w="100" w:type="dxa"/>
              <w:right w:w="100" w:type="dxa"/>
            </w:tcMar>
          </w:tcPr>
          <w:p>
            <w:r>
              <w:rPr>
                <w:sz w:val="18"/>
              </w:rPr>
              <w:t>81.82%</w:t>
            </w:r>
          </w:p>
        </w:tc>
        <w:tc>
          <w:tcPr>
            <w:tcW w:type="dxa" w:w="1152"/>
            <w:tcMar>
              <w:top w:w="80" w:type="dxa"/>
              <w:bottom w:w="80" w:type="dxa"/>
              <w:left w:w="100" w:type="dxa"/>
              <w:right w:w="100" w:type="dxa"/>
            </w:tcMar>
          </w:tcPr>
          <w:p>
            <w:r>
              <w:rPr>
                <w:sz w:val="18"/>
              </w:rPr>
              <w:t>0.8667</w:t>
            </w:r>
          </w:p>
        </w:tc>
        <w:tc>
          <w:tcPr>
            <w:tcW w:type="dxa" w:w="1584"/>
            <w:tcMar>
              <w:top w:w="80" w:type="dxa"/>
              <w:bottom w:w="80" w:type="dxa"/>
              <w:left w:w="100" w:type="dxa"/>
              <w:right w:w="100" w:type="dxa"/>
            </w:tcMar>
          </w:tcPr>
          <w:p>
            <w:r>
              <w:rPr>
                <w:sz w:val="18"/>
              </w:rPr>
              <w:t>83.0% ± 2.5%</w:t>
            </w:r>
          </w:p>
        </w:tc>
      </w:tr>
      <w:tr>
        <w:tc>
          <w:tcPr>
            <w:tcW w:type="dxa" w:w="2592"/>
            <w:shd w:fill="F2F5FA"/>
            <w:tcMar>
              <w:top w:w="80" w:type="dxa"/>
              <w:bottom w:w="80" w:type="dxa"/>
              <w:left w:w="100" w:type="dxa"/>
              <w:right w:w="100" w:type="dxa"/>
            </w:tcMar>
          </w:tcPr>
          <w:p>
            <w:r>
              <w:rPr>
                <w:sz w:val="18"/>
              </w:rPr>
              <w:t>PCA_Logistic_Regression</w:t>
            </w:r>
          </w:p>
        </w:tc>
        <w:tc>
          <w:tcPr>
            <w:tcW w:type="dxa" w:w="1152"/>
            <w:shd w:fill="F2F5FA"/>
            <w:tcMar>
              <w:top w:w="80" w:type="dxa"/>
              <w:bottom w:w="80" w:type="dxa"/>
              <w:left w:w="100" w:type="dxa"/>
              <w:right w:w="100" w:type="dxa"/>
            </w:tcMar>
          </w:tcPr>
          <w:p>
            <w:r>
              <w:rPr>
                <w:sz w:val="18"/>
              </w:rPr>
              <w:t>95.24%</w:t>
            </w:r>
          </w:p>
        </w:tc>
        <w:tc>
          <w:tcPr>
            <w:tcW w:type="dxa" w:w="1152"/>
            <w:shd w:fill="F2F5FA"/>
            <w:tcMar>
              <w:top w:w="80" w:type="dxa"/>
              <w:bottom w:w="80" w:type="dxa"/>
              <w:left w:w="100" w:type="dxa"/>
              <w:right w:w="100" w:type="dxa"/>
            </w:tcMar>
          </w:tcPr>
          <w:p>
            <w:r>
              <w:rPr>
                <w:sz w:val="18"/>
              </w:rPr>
              <w:t>85.25%</w:t>
            </w:r>
          </w:p>
        </w:tc>
        <w:tc>
          <w:tcPr>
            <w:tcW w:type="dxa" w:w="1296"/>
            <w:shd w:fill="F2F5FA"/>
            <w:tcMar>
              <w:top w:w="80" w:type="dxa"/>
              <w:bottom w:w="80" w:type="dxa"/>
              <w:left w:w="100" w:type="dxa"/>
              <w:right w:w="100" w:type="dxa"/>
            </w:tcMar>
          </w:tcPr>
          <w:p>
            <w:r>
              <w:rPr>
                <w:sz w:val="18"/>
              </w:rPr>
              <w:t>89.29%</w:t>
            </w:r>
          </w:p>
        </w:tc>
        <w:tc>
          <w:tcPr>
            <w:tcW w:type="dxa" w:w="1152"/>
            <w:shd w:fill="F2F5FA"/>
            <w:tcMar>
              <w:top w:w="80" w:type="dxa"/>
              <w:bottom w:w="80" w:type="dxa"/>
              <w:left w:w="100" w:type="dxa"/>
              <w:right w:w="100" w:type="dxa"/>
            </w:tcMar>
          </w:tcPr>
          <w:p>
            <w:r>
              <w:rPr>
                <w:sz w:val="18"/>
              </w:rPr>
              <w:t>81.82%</w:t>
            </w:r>
          </w:p>
        </w:tc>
        <w:tc>
          <w:tcPr>
            <w:tcW w:type="dxa" w:w="1152"/>
            <w:shd w:fill="F2F5FA"/>
            <w:tcMar>
              <w:top w:w="80" w:type="dxa"/>
              <w:bottom w:w="80" w:type="dxa"/>
              <w:left w:w="100" w:type="dxa"/>
              <w:right w:w="100" w:type="dxa"/>
            </w:tcMar>
          </w:tcPr>
          <w:p>
            <w:r>
              <w:rPr>
                <w:sz w:val="18"/>
              </w:rPr>
              <w:t>0.8475</w:t>
            </w:r>
          </w:p>
        </w:tc>
        <w:tc>
          <w:tcPr>
            <w:tcW w:type="dxa" w:w="1584"/>
            <w:shd w:fill="F2F5FA"/>
            <w:tcMar>
              <w:top w:w="80" w:type="dxa"/>
              <w:bottom w:w="80" w:type="dxa"/>
              <w:left w:w="100" w:type="dxa"/>
              <w:right w:w="100" w:type="dxa"/>
            </w:tcMar>
          </w:tcPr>
          <w:p>
            <w:r>
              <w:rPr>
                <w:sz w:val="18"/>
              </w:rPr>
              <w:t>80.2% ± 2.3%</w:t>
            </w:r>
          </w:p>
        </w:tc>
      </w:tr>
      <w:tr>
        <w:tc>
          <w:tcPr>
            <w:tcW w:type="dxa" w:w="2592"/>
            <w:tcMar>
              <w:top w:w="80" w:type="dxa"/>
              <w:bottom w:w="80" w:type="dxa"/>
              <w:left w:w="100" w:type="dxa"/>
              <w:right w:w="100" w:type="dxa"/>
            </w:tcMar>
          </w:tcPr>
          <w:p>
            <w:r>
              <w:rPr>
                <w:sz w:val="18"/>
              </w:rPr>
              <w:t>CatBoost</w:t>
            </w:r>
          </w:p>
        </w:tc>
        <w:tc>
          <w:tcPr>
            <w:tcW w:type="dxa" w:w="1152"/>
            <w:tcMar>
              <w:top w:w="80" w:type="dxa"/>
              <w:bottom w:w="80" w:type="dxa"/>
              <w:left w:w="100" w:type="dxa"/>
              <w:right w:w="100" w:type="dxa"/>
            </w:tcMar>
          </w:tcPr>
          <w:p>
            <w:r>
              <w:rPr>
                <w:sz w:val="18"/>
              </w:rPr>
              <w:t>95.13%</w:t>
            </w:r>
          </w:p>
        </w:tc>
        <w:tc>
          <w:tcPr>
            <w:tcW w:type="dxa" w:w="1152"/>
            <w:tcMar>
              <w:top w:w="80" w:type="dxa"/>
              <w:bottom w:w="80" w:type="dxa"/>
              <w:left w:w="100" w:type="dxa"/>
              <w:right w:w="100" w:type="dxa"/>
            </w:tcMar>
          </w:tcPr>
          <w:p>
            <w:r>
              <w:rPr>
                <w:sz w:val="18"/>
              </w:rPr>
              <w:t>90.16%</w:t>
            </w:r>
          </w:p>
        </w:tc>
        <w:tc>
          <w:tcPr>
            <w:tcW w:type="dxa" w:w="1296"/>
            <w:tcMar>
              <w:top w:w="80" w:type="dxa"/>
              <w:bottom w:w="80" w:type="dxa"/>
              <w:left w:w="100" w:type="dxa"/>
              <w:right w:w="100" w:type="dxa"/>
            </w:tcMar>
          </w:tcPr>
          <w:p>
            <w:r>
              <w:rPr>
                <w:sz w:val="18"/>
              </w:rPr>
              <w:t>92.86%</w:t>
            </w:r>
          </w:p>
        </w:tc>
        <w:tc>
          <w:tcPr>
            <w:tcW w:type="dxa" w:w="1152"/>
            <w:tcMar>
              <w:top w:w="80" w:type="dxa"/>
              <w:bottom w:w="80" w:type="dxa"/>
              <w:left w:w="100" w:type="dxa"/>
              <w:right w:w="100" w:type="dxa"/>
            </w:tcMar>
          </w:tcPr>
          <w:p>
            <w:r>
              <w:rPr>
                <w:sz w:val="18"/>
              </w:rPr>
              <w:t>87.88%</w:t>
            </w:r>
          </w:p>
        </w:tc>
        <w:tc>
          <w:tcPr>
            <w:tcW w:type="dxa" w:w="1152"/>
            <w:tcMar>
              <w:top w:w="80" w:type="dxa"/>
              <w:bottom w:w="80" w:type="dxa"/>
              <w:left w:w="100" w:type="dxa"/>
              <w:right w:w="100" w:type="dxa"/>
            </w:tcMar>
          </w:tcPr>
          <w:p>
            <w:r>
              <w:rPr>
                <w:sz w:val="18"/>
              </w:rPr>
              <w:t>0.8966</w:t>
            </w:r>
          </w:p>
        </w:tc>
        <w:tc>
          <w:tcPr>
            <w:tcW w:type="dxa" w:w="1584"/>
            <w:tcMar>
              <w:top w:w="80" w:type="dxa"/>
              <w:bottom w:w="80" w:type="dxa"/>
              <w:left w:w="100" w:type="dxa"/>
              <w:right w:w="100" w:type="dxa"/>
            </w:tcMar>
          </w:tcPr>
          <w:p>
            <w:r>
              <w:rPr>
                <w:sz w:val="18"/>
              </w:rPr>
              <w:t>80.5% ± 3.7%</w:t>
            </w:r>
          </w:p>
        </w:tc>
      </w:tr>
      <w:tr>
        <w:tc>
          <w:tcPr>
            <w:tcW w:type="dxa" w:w="2592"/>
            <w:shd w:fill="F2F5FA"/>
            <w:tcMar>
              <w:top w:w="80" w:type="dxa"/>
              <w:bottom w:w="80" w:type="dxa"/>
              <w:left w:w="100" w:type="dxa"/>
              <w:right w:w="100" w:type="dxa"/>
            </w:tcMar>
          </w:tcPr>
          <w:p>
            <w:r>
              <w:rPr>
                <w:sz w:val="18"/>
              </w:rPr>
              <w:t>Random_Forest</w:t>
            </w:r>
          </w:p>
        </w:tc>
        <w:tc>
          <w:tcPr>
            <w:tcW w:type="dxa" w:w="1152"/>
            <w:shd w:fill="F2F5FA"/>
            <w:tcMar>
              <w:top w:w="80" w:type="dxa"/>
              <w:bottom w:w="80" w:type="dxa"/>
              <w:left w:w="100" w:type="dxa"/>
              <w:right w:w="100" w:type="dxa"/>
            </w:tcMar>
          </w:tcPr>
          <w:p>
            <w:r>
              <w:rPr>
                <w:sz w:val="18"/>
              </w:rPr>
              <w:t>95.02%</w:t>
            </w:r>
          </w:p>
        </w:tc>
        <w:tc>
          <w:tcPr>
            <w:tcW w:type="dxa" w:w="1152"/>
            <w:shd w:fill="F2F5FA"/>
            <w:tcMar>
              <w:top w:w="80" w:type="dxa"/>
              <w:bottom w:w="80" w:type="dxa"/>
              <w:left w:w="100" w:type="dxa"/>
              <w:right w:w="100" w:type="dxa"/>
            </w:tcMar>
          </w:tcPr>
          <w:p>
            <w:r>
              <w:rPr>
                <w:sz w:val="18"/>
              </w:rPr>
              <w:t>90.16%</w:t>
            </w:r>
          </w:p>
        </w:tc>
        <w:tc>
          <w:tcPr>
            <w:tcW w:type="dxa" w:w="1296"/>
            <w:shd w:fill="F2F5FA"/>
            <w:tcMar>
              <w:top w:w="80" w:type="dxa"/>
              <w:bottom w:w="80" w:type="dxa"/>
              <w:left w:w="100" w:type="dxa"/>
              <w:right w:w="100" w:type="dxa"/>
            </w:tcMar>
          </w:tcPr>
          <w:p>
            <w:r>
              <w:rPr>
                <w:sz w:val="18"/>
              </w:rPr>
              <w:t>96.43%</w:t>
            </w:r>
          </w:p>
        </w:tc>
        <w:tc>
          <w:tcPr>
            <w:tcW w:type="dxa" w:w="1152"/>
            <w:shd w:fill="F2F5FA"/>
            <w:tcMar>
              <w:top w:w="80" w:type="dxa"/>
              <w:bottom w:w="80" w:type="dxa"/>
              <w:left w:w="100" w:type="dxa"/>
              <w:right w:w="100" w:type="dxa"/>
            </w:tcMar>
          </w:tcPr>
          <w:p>
            <w:r>
              <w:rPr>
                <w:sz w:val="18"/>
              </w:rPr>
              <w:t>84.85%</w:t>
            </w:r>
          </w:p>
        </w:tc>
        <w:tc>
          <w:tcPr>
            <w:tcW w:type="dxa" w:w="1152"/>
            <w:shd w:fill="F2F5FA"/>
            <w:tcMar>
              <w:top w:w="80" w:type="dxa"/>
              <w:bottom w:w="80" w:type="dxa"/>
              <w:left w:w="100" w:type="dxa"/>
              <w:right w:w="100" w:type="dxa"/>
            </w:tcMar>
          </w:tcPr>
          <w:p>
            <w:r>
              <w:rPr>
                <w:sz w:val="18"/>
              </w:rPr>
              <w:t>0.9000</w:t>
            </w:r>
          </w:p>
        </w:tc>
        <w:tc>
          <w:tcPr>
            <w:tcW w:type="dxa" w:w="1584"/>
            <w:shd w:fill="F2F5FA"/>
            <w:tcMar>
              <w:top w:w="80" w:type="dxa"/>
              <w:bottom w:w="80" w:type="dxa"/>
              <w:left w:w="100" w:type="dxa"/>
              <w:right w:w="100" w:type="dxa"/>
            </w:tcMar>
          </w:tcPr>
          <w:p>
            <w:r>
              <w:rPr>
                <w:sz w:val="18"/>
              </w:rPr>
              <w:t>78.9% ± 2.5%</w:t>
            </w:r>
          </w:p>
        </w:tc>
      </w:tr>
      <w:tr>
        <w:tc>
          <w:tcPr>
            <w:tcW w:type="dxa" w:w="2592"/>
            <w:tcMar>
              <w:top w:w="80" w:type="dxa"/>
              <w:bottom w:w="80" w:type="dxa"/>
              <w:left w:w="100" w:type="dxa"/>
              <w:right w:w="100" w:type="dxa"/>
            </w:tcMar>
          </w:tcPr>
          <w:p>
            <w:r>
              <w:rPr>
                <w:sz w:val="18"/>
              </w:rPr>
              <w:t>Gaussian_Naive_Bayes</w:t>
            </w:r>
          </w:p>
        </w:tc>
        <w:tc>
          <w:tcPr>
            <w:tcW w:type="dxa" w:w="1152"/>
            <w:tcMar>
              <w:top w:w="80" w:type="dxa"/>
              <w:bottom w:w="80" w:type="dxa"/>
              <w:left w:w="100" w:type="dxa"/>
              <w:right w:w="100" w:type="dxa"/>
            </w:tcMar>
          </w:tcPr>
          <w:p>
            <w:r>
              <w:rPr>
                <w:sz w:val="18"/>
              </w:rPr>
              <w:t>94.91%</w:t>
            </w:r>
          </w:p>
        </w:tc>
        <w:tc>
          <w:tcPr>
            <w:tcW w:type="dxa" w:w="1152"/>
            <w:tcMar>
              <w:top w:w="80" w:type="dxa"/>
              <w:bottom w:w="80" w:type="dxa"/>
              <w:left w:w="100" w:type="dxa"/>
              <w:right w:w="100" w:type="dxa"/>
            </w:tcMar>
          </w:tcPr>
          <w:p>
            <w:r>
              <w:rPr>
                <w:sz w:val="18"/>
              </w:rPr>
              <w:t>86.89%</w:t>
            </w:r>
          </w:p>
        </w:tc>
        <w:tc>
          <w:tcPr>
            <w:tcW w:type="dxa" w:w="1296"/>
            <w:tcMar>
              <w:top w:w="80" w:type="dxa"/>
              <w:bottom w:w="80" w:type="dxa"/>
              <w:left w:w="100" w:type="dxa"/>
              <w:right w:w="100" w:type="dxa"/>
            </w:tcMar>
          </w:tcPr>
          <w:p>
            <w:r>
              <w:rPr>
                <w:sz w:val="18"/>
              </w:rPr>
              <w:t>96.43%</w:t>
            </w:r>
          </w:p>
        </w:tc>
        <w:tc>
          <w:tcPr>
            <w:tcW w:type="dxa" w:w="1152"/>
            <w:tcMar>
              <w:top w:w="80" w:type="dxa"/>
              <w:bottom w:w="80" w:type="dxa"/>
              <w:left w:w="100" w:type="dxa"/>
              <w:right w:w="100" w:type="dxa"/>
            </w:tcMar>
          </w:tcPr>
          <w:p>
            <w:r>
              <w:rPr>
                <w:sz w:val="18"/>
              </w:rPr>
              <w:t>78.79%</w:t>
            </w:r>
          </w:p>
        </w:tc>
        <w:tc>
          <w:tcPr>
            <w:tcW w:type="dxa" w:w="1152"/>
            <w:tcMar>
              <w:top w:w="80" w:type="dxa"/>
              <w:bottom w:w="80" w:type="dxa"/>
              <w:left w:w="100" w:type="dxa"/>
              <w:right w:w="100" w:type="dxa"/>
            </w:tcMar>
          </w:tcPr>
          <w:p>
            <w:r>
              <w:rPr>
                <w:sz w:val="18"/>
              </w:rPr>
              <w:t>0.8710</w:t>
            </w:r>
          </w:p>
        </w:tc>
        <w:tc>
          <w:tcPr>
            <w:tcW w:type="dxa" w:w="1584"/>
            <w:tcMar>
              <w:top w:w="80" w:type="dxa"/>
              <w:bottom w:w="80" w:type="dxa"/>
              <w:left w:w="100" w:type="dxa"/>
              <w:right w:w="100" w:type="dxa"/>
            </w:tcMar>
          </w:tcPr>
          <w:p>
            <w:r>
              <w:rPr>
                <w:sz w:val="18"/>
              </w:rPr>
              <w:t>81.8% ± 3.1%</w:t>
            </w:r>
          </w:p>
        </w:tc>
      </w:tr>
      <w:tr>
        <w:tc>
          <w:tcPr>
            <w:tcW w:type="dxa" w:w="2592"/>
            <w:shd w:fill="F2F5FA"/>
            <w:tcMar>
              <w:top w:w="80" w:type="dxa"/>
              <w:bottom w:w="80" w:type="dxa"/>
              <w:left w:w="100" w:type="dxa"/>
              <w:right w:w="100" w:type="dxa"/>
            </w:tcMar>
          </w:tcPr>
          <w:p>
            <w:r>
              <w:rPr>
                <w:sz w:val="18"/>
              </w:rPr>
              <w:t>Logistic_Regression_ElasticNet</w:t>
            </w:r>
          </w:p>
        </w:tc>
        <w:tc>
          <w:tcPr>
            <w:tcW w:type="dxa" w:w="1152"/>
            <w:shd w:fill="F2F5FA"/>
            <w:tcMar>
              <w:top w:w="80" w:type="dxa"/>
              <w:bottom w:w="80" w:type="dxa"/>
              <w:left w:w="100" w:type="dxa"/>
              <w:right w:w="100" w:type="dxa"/>
            </w:tcMar>
          </w:tcPr>
          <w:p>
            <w:r>
              <w:rPr>
                <w:sz w:val="18"/>
              </w:rPr>
              <w:t>94.91%</w:t>
            </w:r>
          </w:p>
        </w:tc>
        <w:tc>
          <w:tcPr>
            <w:tcW w:type="dxa" w:w="1152"/>
            <w:shd w:fill="F2F5FA"/>
            <w:tcMar>
              <w:top w:w="80" w:type="dxa"/>
              <w:bottom w:w="80" w:type="dxa"/>
              <w:left w:w="100" w:type="dxa"/>
              <w:right w:w="100" w:type="dxa"/>
            </w:tcMar>
          </w:tcPr>
          <w:p>
            <w:r>
              <w:rPr>
                <w:sz w:val="18"/>
              </w:rPr>
              <w:t>86.89%</w:t>
            </w:r>
          </w:p>
        </w:tc>
        <w:tc>
          <w:tcPr>
            <w:tcW w:type="dxa" w:w="1296"/>
            <w:shd w:fill="F2F5FA"/>
            <w:tcMar>
              <w:top w:w="80" w:type="dxa"/>
              <w:bottom w:w="80" w:type="dxa"/>
              <w:left w:w="100" w:type="dxa"/>
              <w:right w:w="100" w:type="dxa"/>
            </w:tcMar>
          </w:tcPr>
          <w:p>
            <w:r>
              <w:rPr>
                <w:sz w:val="18"/>
              </w:rPr>
              <w:t>92.86%</w:t>
            </w:r>
          </w:p>
        </w:tc>
        <w:tc>
          <w:tcPr>
            <w:tcW w:type="dxa" w:w="1152"/>
            <w:shd w:fill="F2F5FA"/>
            <w:tcMar>
              <w:top w:w="80" w:type="dxa"/>
              <w:bottom w:w="80" w:type="dxa"/>
              <w:left w:w="100" w:type="dxa"/>
              <w:right w:w="100" w:type="dxa"/>
            </w:tcMar>
          </w:tcPr>
          <w:p>
            <w:r>
              <w:rPr>
                <w:sz w:val="18"/>
              </w:rPr>
              <w:t>81.82%</w:t>
            </w:r>
          </w:p>
        </w:tc>
        <w:tc>
          <w:tcPr>
            <w:tcW w:type="dxa" w:w="1152"/>
            <w:shd w:fill="F2F5FA"/>
            <w:tcMar>
              <w:top w:w="80" w:type="dxa"/>
              <w:bottom w:w="80" w:type="dxa"/>
              <w:left w:w="100" w:type="dxa"/>
              <w:right w:w="100" w:type="dxa"/>
            </w:tcMar>
          </w:tcPr>
          <w:p>
            <w:r>
              <w:rPr>
                <w:sz w:val="18"/>
              </w:rPr>
              <w:t>0.8667</w:t>
            </w:r>
          </w:p>
        </w:tc>
        <w:tc>
          <w:tcPr>
            <w:tcW w:type="dxa" w:w="1584"/>
            <w:shd w:fill="F2F5FA"/>
            <w:tcMar>
              <w:top w:w="80" w:type="dxa"/>
              <w:bottom w:w="80" w:type="dxa"/>
              <w:left w:w="100" w:type="dxa"/>
              <w:right w:w="100" w:type="dxa"/>
            </w:tcMar>
          </w:tcPr>
          <w:p>
            <w:r>
              <w:rPr>
                <w:sz w:val="18"/>
              </w:rPr>
              <w:t>82.6% ± 1.7%</w:t>
            </w:r>
          </w:p>
        </w:tc>
      </w:tr>
      <w:tr>
        <w:tc>
          <w:tcPr>
            <w:tcW w:type="dxa" w:w="2592"/>
            <w:tcMar>
              <w:top w:w="80" w:type="dxa"/>
              <w:bottom w:w="80" w:type="dxa"/>
              <w:left w:w="100" w:type="dxa"/>
              <w:right w:w="100" w:type="dxa"/>
            </w:tcMar>
          </w:tcPr>
          <w:p>
            <w:r>
              <w:rPr>
                <w:sz w:val="18"/>
              </w:rPr>
              <w:t>Logistic_Regression_L1</w:t>
            </w:r>
          </w:p>
        </w:tc>
        <w:tc>
          <w:tcPr>
            <w:tcW w:type="dxa" w:w="1152"/>
            <w:tcMar>
              <w:top w:w="80" w:type="dxa"/>
              <w:bottom w:w="80" w:type="dxa"/>
              <w:left w:w="100" w:type="dxa"/>
              <w:right w:w="100" w:type="dxa"/>
            </w:tcMar>
          </w:tcPr>
          <w:p>
            <w:r>
              <w:rPr>
                <w:sz w:val="18"/>
              </w:rPr>
              <w:t>94.70%</w:t>
            </w:r>
          </w:p>
        </w:tc>
        <w:tc>
          <w:tcPr>
            <w:tcW w:type="dxa" w:w="1152"/>
            <w:tcMar>
              <w:top w:w="80" w:type="dxa"/>
              <w:bottom w:w="80" w:type="dxa"/>
              <w:left w:w="100" w:type="dxa"/>
              <w:right w:w="100" w:type="dxa"/>
            </w:tcMar>
          </w:tcPr>
          <w:p>
            <w:r>
              <w:rPr>
                <w:sz w:val="18"/>
              </w:rPr>
              <w:t>86.89%</w:t>
            </w:r>
          </w:p>
        </w:tc>
        <w:tc>
          <w:tcPr>
            <w:tcW w:type="dxa" w:w="1296"/>
            <w:tcMar>
              <w:top w:w="80" w:type="dxa"/>
              <w:bottom w:w="80" w:type="dxa"/>
              <w:left w:w="100" w:type="dxa"/>
              <w:right w:w="100" w:type="dxa"/>
            </w:tcMar>
          </w:tcPr>
          <w:p>
            <w:r>
              <w:rPr>
                <w:sz w:val="18"/>
              </w:rPr>
              <w:t>92.86%</w:t>
            </w:r>
          </w:p>
        </w:tc>
        <w:tc>
          <w:tcPr>
            <w:tcW w:type="dxa" w:w="1152"/>
            <w:tcMar>
              <w:top w:w="80" w:type="dxa"/>
              <w:bottom w:w="80" w:type="dxa"/>
              <w:left w:w="100" w:type="dxa"/>
              <w:right w:w="100" w:type="dxa"/>
            </w:tcMar>
          </w:tcPr>
          <w:p>
            <w:r>
              <w:rPr>
                <w:sz w:val="18"/>
              </w:rPr>
              <w:t>81.82%</w:t>
            </w:r>
          </w:p>
        </w:tc>
        <w:tc>
          <w:tcPr>
            <w:tcW w:type="dxa" w:w="1152"/>
            <w:tcMar>
              <w:top w:w="80" w:type="dxa"/>
              <w:bottom w:w="80" w:type="dxa"/>
              <w:left w:w="100" w:type="dxa"/>
              <w:right w:w="100" w:type="dxa"/>
            </w:tcMar>
          </w:tcPr>
          <w:p>
            <w:r>
              <w:rPr>
                <w:sz w:val="18"/>
              </w:rPr>
              <w:t>0.8667</w:t>
            </w:r>
          </w:p>
        </w:tc>
        <w:tc>
          <w:tcPr>
            <w:tcW w:type="dxa" w:w="1584"/>
            <w:tcMar>
              <w:top w:w="80" w:type="dxa"/>
              <w:bottom w:w="80" w:type="dxa"/>
              <w:left w:w="100" w:type="dxa"/>
              <w:right w:w="100" w:type="dxa"/>
            </w:tcMar>
          </w:tcPr>
          <w:p>
            <w:r>
              <w:rPr>
                <w:sz w:val="18"/>
              </w:rPr>
              <w:t>82.2% ± 2.2%</w:t>
            </w:r>
          </w:p>
        </w:tc>
      </w:tr>
      <w:tr>
        <w:tc>
          <w:tcPr>
            <w:tcW w:type="dxa" w:w="2592"/>
            <w:shd w:fill="F2F5FA"/>
            <w:tcMar>
              <w:top w:w="80" w:type="dxa"/>
              <w:bottom w:w="80" w:type="dxa"/>
              <w:left w:w="100" w:type="dxa"/>
              <w:right w:w="100" w:type="dxa"/>
            </w:tcMar>
          </w:tcPr>
          <w:p>
            <w:r>
              <w:rPr>
                <w:sz w:val="18"/>
              </w:rPr>
              <w:t>SVM_RBF</w:t>
            </w:r>
          </w:p>
        </w:tc>
        <w:tc>
          <w:tcPr>
            <w:tcW w:type="dxa" w:w="1152"/>
            <w:shd w:fill="F2F5FA"/>
            <w:tcMar>
              <w:top w:w="80" w:type="dxa"/>
              <w:bottom w:w="80" w:type="dxa"/>
              <w:left w:w="100" w:type="dxa"/>
              <w:right w:w="100" w:type="dxa"/>
            </w:tcMar>
          </w:tcPr>
          <w:p>
            <w:r>
              <w:rPr>
                <w:sz w:val="18"/>
              </w:rPr>
              <w:t>94.70%</w:t>
            </w:r>
          </w:p>
        </w:tc>
        <w:tc>
          <w:tcPr>
            <w:tcW w:type="dxa" w:w="1152"/>
            <w:shd w:fill="F2F5FA"/>
            <w:tcMar>
              <w:top w:w="80" w:type="dxa"/>
              <w:bottom w:w="80" w:type="dxa"/>
              <w:left w:w="100" w:type="dxa"/>
              <w:right w:w="100" w:type="dxa"/>
            </w:tcMar>
          </w:tcPr>
          <w:p>
            <w:r>
              <w:rPr>
                <w:sz w:val="18"/>
              </w:rPr>
              <w:t>85.25%</w:t>
            </w:r>
          </w:p>
        </w:tc>
        <w:tc>
          <w:tcPr>
            <w:tcW w:type="dxa" w:w="1296"/>
            <w:shd w:fill="F2F5FA"/>
            <w:tcMar>
              <w:top w:w="80" w:type="dxa"/>
              <w:bottom w:w="80" w:type="dxa"/>
              <w:left w:w="100" w:type="dxa"/>
              <w:right w:w="100" w:type="dxa"/>
            </w:tcMar>
          </w:tcPr>
          <w:p>
            <w:r>
              <w:rPr>
                <w:sz w:val="18"/>
              </w:rPr>
              <w:t>89.29%</w:t>
            </w:r>
          </w:p>
        </w:tc>
        <w:tc>
          <w:tcPr>
            <w:tcW w:type="dxa" w:w="1152"/>
            <w:shd w:fill="F2F5FA"/>
            <w:tcMar>
              <w:top w:w="80" w:type="dxa"/>
              <w:bottom w:w="80" w:type="dxa"/>
              <w:left w:w="100" w:type="dxa"/>
              <w:right w:w="100" w:type="dxa"/>
            </w:tcMar>
          </w:tcPr>
          <w:p>
            <w:r>
              <w:rPr>
                <w:sz w:val="18"/>
              </w:rPr>
              <w:t>81.82%</w:t>
            </w:r>
          </w:p>
        </w:tc>
        <w:tc>
          <w:tcPr>
            <w:tcW w:type="dxa" w:w="1152"/>
            <w:shd w:fill="F2F5FA"/>
            <w:tcMar>
              <w:top w:w="80" w:type="dxa"/>
              <w:bottom w:w="80" w:type="dxa"/>
              <w:left w:w="100" w:type="dxa"/>
              <w:right w:w="100" w:type="dxa"/>
            </w:tcMar>
          </w:tcPr>
          <w:p>
            <w:r>
              <w:rPr>
                <w:sz w:val="18"/>
              </w:rPr>
              <w:t>0.8475</w:t>
            </w:r>
          </w:p>
        </w:tc>
        <w:tc>
          <w:tcPr>
            <w:tcW w:type="dxa" w:w="1584"/>
            <w:shd w:fill="F2F5FA"/>
            <w:tcMar>
              <w:top w:w="80" w:type="dxa"/>
              <w:bottom w:w="80" w:type="dxa"/>
              <w:left w:w="100" w:type="dxa"/>
              <w:right w:w="100" w:type="dxa"/>
            </w:tcMar>
          </w:tcPr>
          <w:p>
            <w:r>
              <w:rPr>
                <w:sz w:val="18"/>
              </w:rPr>
              <w:t>82.6% ± 3.1%</w:t>
            </w:r>
          </w:p>
        </w:tc>
      </w:tr>
      <w:tr>
        <w:tc>
          <w:tcPr>
            <w:tcW w:type="dxa" w:w="2592"/>
            <w:tcMar>
              <w:top w:w="80" w:type="dxa"/>
              <w:bottom w:w="80" w:type="dxa"/>
              <w:left w:w="100" w:type="dxa"/>
              <w:right w:w="100" w:type="dxa"/>
            </w:tcMar>
          </w:tcPr>
          <w:p>
            <w:r>
              <w:rPr>
                <w:sz w:val="18"/>
              </w:rPr>
              <w:t>Extra_Trees</w:t>
            </w:r>
          </w:p>
        </w:tc>
        <w:tc>
          <w:tcPr>
            <w:tcW w:type="dxa" w:w="1152"/>
            <w:tcMar>
              <w:top w:w="80" w:type="dxa"/>
              <w:bottom w:w="80" w:type="dxa"/>
              <w:left w:w="100" w:type="dxa"/>
              <w:right w:w="100" w:type="dxa"/>
            </w:tcMar>
          </w:tcPr>
          <w:p>
            <w:r>
              <w:rPr>
                <w:sz w:val="18"/>
              </w:rPr>
              <w:t>94.59%</w:t>
            </w:r>
          </w:p>
        </w:tc>
        <w:tc>
          <w:tcPr>
            <w:tcW w:type="dxa" w:w="1152"/>
            <w:tcMar>
              <w:top w:w="80" w:type="dxa"/>
              <w:bottom w:w="80" w:type="dxa"/>
              <w:left w:w="100" w:type="dxa"/>
              <w:right w:w="100" w:type="dxa"/>
            </w:tcMar>
          </w:tcPr>
          <w:p>
            <w:r>
              <w:rPr>
                <w:sz w:val="18"/>
              </w:rPr>
              <w:t>85.25%</w:t>
            </w:r>
          </w:p>
        </w:tc>
        <w:tc>
          <w:tcPr>
            <w:tcW w:type="dxa" w:w="1296"/>
            <w:tcMar>
              <w:top w:w="80" w:type="dxa"/>
              <w:bottom w:w="80" w:type="dxa"/>
              <w:left w:w="100" w:type="dxa"/>
              <w:right w:w="100" w:type="dxa"/>
            </w:tcMar>
          </w:tcPr>
          <w:p>
            <w:r>
              <w:rPr>
                <w:sz w:val="18"/>
              </w:rPr>
              <w:t>96.43%</w:t>
            </w:r>
          </w:p>
        </w:tc>
        <w:tc>
          <w:tcPr>
            <w:tcW w:type="dxa" w:w="1152"/>
            <w:tcMar>
              <w:top w:w="80" w:type="dxa"/>
              <w:bottom w:w="80" w:type="dxa"/>
              <w:left w:w="100" w:type="dxa"/>
              <w:right w:w="100" w:type="dxa"/>
            </w:tcMar>
          </w:tcPr>
          <w:p>
            <w:r>
              <w:rPr>
                <w:sz w:val="18"/>
              </w:rPr>
              <w:t>75.76%</w:t>
            </w:r>
          </w:p>
        </w:tc>
        <w:tc>
          <w:tcPr>
            <w:tcW w:type="dxa" w:w="1152"/>
            <w:tcMar>
              <w:top w:w="80" w:type="dxa"/>
              <w:bottom w:w="80" w:type="dxa"/>
              <w:left w:w="100" w:type="dxa"/>
              <w:right w:w="100" w:type="dxa"/>
            </w:tcMar>
          </w:tcPr>
          <w:p>
            <w:r>
              <w:rPr>
                <w:sz w:val="18"/>
              </w:rPr>
              <w:t>0.8571</w:t>
            </w:r>
          </w:p>
        </w:tc>
        <w:tc>
          <w:tcPr>
            <w:tcW w:type="dxa" w:w="1584"/>
            <w:tcMar>
              <w:top w:w="80" w:type="dxa"/>
              <w:bottom w:w="80" w:type="dxa"/>
              <w:left w:w="100" w:type="dxa"/>
              <w:right w:w="100" w:type="dxa"/>
            </w:tcMar>
          </w:tcPr>
          <w:p>
            <w:r>
              <w:rPr>
                <w:sz w:val="18"/>
              </w:rPr>
              <w:t>81.8% ± 2.0%</w:t>
            </w:r>
          </w:p>
        </w:tc>
      </w:tr>
      <w:tr>
        <w:tc>
          <w:tcPr>
            <w:tcW w:type="dxa" w:w="2592"/>
            <w:shd w:fill="F2F5FA"/>
            <w:tcMar>
              <w:top w:w="80" w:type="dxa"/>
              <w:bottom w:w="80" w:type="dxa"/>
              <w:left w:w="100" w:type="dxa"/>
              <w:right w:w="100" w:type="dxa"/>
            </w:tcMar>
          </w:tcPr>
          <w:p>
            <w:r>
              <w:rPr>
                <w:sz w:val="18"/>
              </w:rPr>
              <w:t>Artificial_Neural_Network</w:t>
            </w:r>
          </w:p>
        </w:tc>
        <w:tc>
          <w:tcPr>
            <w:tcW w:type="dxa" w:w="1152"/>
            <w:shd w:fill="F2F5FA"/>
            <w:tcMar>
              <w:top w:w="80" w:type="dxa"/>
              <w:bottom w:w="80" w:type="dxa"/>
              <w:left w:w="100" w:type="dxa"/>
              <w:right w:w="100" w:type="dxa"/>
            </w:tcMar>
          </w:tcPr>
          <w:p>
            <w:r>
              <w:rPr>
                <w:sz w:val="18"/>
              </w:rPr>
              <w:t>94.48%</w:t>
            </w:r>
          </w:p>
        </w:tc>
        <w:tc>
          <w:tcPr>
            <w:tcW w:type="dxa" w:w="1152"/>
            <w:shd w:fill="F2F5FA"/>
            <w:tcMar>
              <w:top w:w="80" w:type="dxa"/>
              <w:bottom w:w="80" w:type="dxa"/>
              <w:left w:w="100" w:type="dxa"/>
              <w:right w:w="100" w:type="dxa"/>
            </w:tcMar>
          </w:tcPr>
          <w:p>
            <w:r>
              <w:rPr>
                <w:sz w:val="18"/>
              </w:rPr>
              <w:t>85.25%</w:t>
            </w:r>
          </w:p>
        </w:tc>
        <w:tc>
          <w:tcPr>
            <w:tcW w:type="dxa" w:w="1296"/>
            <w:shd w:fill="F2F5FA"/>
            <w:tcMar>
              <w:top w:w="80" w:type="dxa"/>
              <w:bottom w:w="80" w:type="dxa"/>
              <w:left w:w="100" w:type="dxa"/>
              <w:right w:w="100" w:type="dxa"/>
            </w:tcMar>
          </w:tcPr>
          <w:p>
            <w:r>
              <w:rPr>
                <w:sz w:val="18"/>
              </w:rPr>
              <w:t>89.29%</w:t>
            </w:r>
          </w:p>
        </w:tc>
        <w:tc>
          <w:tcPr>
            <w:tcW w:type="dxa" w:w="1152"/>
            <w:shd w:fill="F2F5FA"/>
            <w:tcMar>
              <w:top w:w="80" w:type="dxa"/>
              <w:bottom w:w="80" w:type="dxa"/>
              <w:left w:w="100" w:type="dxa"/>
              <w:right w:w="100" w:type="dxa"/>
            </w:tcMar>
          </w:tcPr>
          <w:p>
            <w:r>
              <w:rPr>
                <w:sz w:val="18"/>
              </w:rPr>
              <w:t>81.82%</w:t>
            </w:r>
          </w:p>
        </w:tc>
        <w:tc>
          <w:tcPr>
            <w:tcW w:type="dxa" w:w="1152"/>
            <w:shd w:fill="F2F5FA"/>
            <w:tcMar>
              <w:top w:w="80" w:type="dxa"/>
              <w:bottom w:w="80" w:type="dxa"/>
              <w:left w:w="100" w:type="dxa"/>
              <w:right w:w="100" w:type="dxa"/>
            </w:tcMar>
          </w:tcPr>
          <w:p>
            <w:r>
              <w:rPr>
                <w:sz w:val="18"/>
              </w:rPr>
              <w:t>0.8475</w:t>
            </w:r>
          </w:p>
        </w:tc>
        <w:tc>
          <w:tcPr>
            <w:tcW w:type="dxa" w:w="1584"/>
            <w:shd w:fill="F2F5FA"/>
            <w:tcMar>
              <w:top w:w="80" w:type="dxa"/>
              <w:bottom w:w="80" w:type="dxa"/>
              <w:left w:w="100" w:type="dxa"/>
              <w:right w:w="100" w:type="dxa"/>
            </w:tcMar>
          </w:tcPr>
          <w:p>
            <w:r>
              <w:rPr>
                <w:sz w:val="18"/>
              </w:rPr>
              <w:t>75.2% ± 5.8%</w:t>
            </w:r>
          </w:p>
        </w:tc>
      </w:tr>
      <w:tr>
        <w:tc>
          <w:tcPr>
            <w:tcW w:type="dxa" w:w="2592"/>
            <w:tcMar>
              <w:top w:w="80" w:type="dxa"/>
              <w:bottom w:w="80" w:type="dxa"/>
              <w:left w:w="100" w:type="dxa"/>
              <w:right w:w="100" w:type="dxa"/>
            </w:tcMar>
          </w:tcPr>
          <w:p>
            <w:r>
              <w:rPr>
                <w:sz w:val="18"/>
              </w:rPr>
              <w:t>SVM_Linear</w:t>
            </w:r>
          </w:p>
        </w:tc>
        <w:tc>
          <w:tcPr>
            <w:tcW w:type="dxa" w:w="1152"/>
            <w:tcMar>
              <w:top w:w="80" w:type="dxa"/>
              <w:bottom w:w="80" w:type="dxa"/>
              <w:left w:w="100" w:type="dxa"/>
              <w:right w:w="100" w:type="dxa"/>
            </w:tcMar>
          </w:tcPr>
          <w:p>
            <w:r>
              <w:rPr>
                <w:sz w:val="18"/>
              </w:rPr>
              <w:t>94.26%</w:t>
            </w:r>
          </w:p>
        </w:tc>
        <w:tc>
          <w:tcPr>
            <w:tcW w:type="dxa" w:w="1152"/>
            <w:tcMar>
              <w:top w:w="80" w:type="dxa"/>
              <w:bottom w:w="80" w:type="dxa"/>
              <w:left w:w="100" w:type="dxa"/>
              <w:right w:w="100" w:type="dxa"/>
            </w:tcMar>
          </w:tcPr>
          <w:p>
            <w:r>
              <w:rPr>
                <w:sz w:val="18"/>
              </w:rPr>
              <w:t>85.25%</w:t>
            </w:r>
          </w:p>
        </w:tc>
        <w:tc>
          <w:tcPr>
            <w:tcW w:type="dxa" w:w="1296"/>
            <w:tcMar>
              <w:top w:w="80" w:type="dxa"/>
              <w:bottom w:w="80" w:type="dxa"/>
              <w:left w:w="100" w:type="dxa"/>
              <w:right w:w="100" w:type="dxa"/>
            </w:tcMar>
          </w:tcPr>
          <w:p>
            <w:r>
              <w:rPr>
                <w:sz w:val="18"/>
              </w:rPr>
              <w:t>89.29%</w:t>
            </w:r>
          </w:p>
        </w:tc>
        <w:tc>
          <w:tcPr>
            <w:tcW w:type="dxa" w:w="1152"/>
            <w:tcMar>
              <w:top w:w="80" w:type="dxa"/>
              <w:bottom w:w="80" w:type="dxa"/>
              <w:left w:w="100" w:type="dxa"/>
              <w:right w:w="100" w:type="dxa"/>
            </w:tcMar>
          </w:tcPr>
          <w:p>
            <w:r>
              <w:rPr>
                <w:sz w:val="18"/>
              </w:rPr>
              <w:t>81.82%</w:t>
            </w:r>
          </w:p>
        </w:tc>
        <w:tc>
          <w:tcPr>
            <w:tcW w:type="dxa" w:w="1152"/>
            <w:tcMar>
              <w:top w:w="80" w:type="dxa"/>
              <w:bottom w:w="80" w:type="dxa"/>
              <w:left w:w="100" w:type="dxa"/>
              <w:right w:w="100" w:type="dxa"/>
            </w:tcMar>
          </w:tcPr>
          <w:p>
            <w:r>
              <w:rPr>
                <w:sz w:val="18"/>
              </w:rPr>
              <w:t>0.8475</w:t>
            </w:r>
          </w:p>
        </w:tc>
        <w:tc>
          <w:tcPr>
            <w:tcW w:type="dxa" w:w="1584"/>
            <w:tcMar>
              <w:top w:w="80" w:type="dxa"/>
              <w:bottom w:w="80" w:type="dxa"/>
              <w:left w:w="100" w:type="dxa"/>
              <w:right w:w="100" w:type="dxa"/>
            </w:tcMar>
          </w:tcPr>
          <w:p>
            <w:r>
              <w:rPr>
                <w:sz w:val="18"/>
              </w:rPr>
              <w:t>81.0% ± 2.9%</w:t>
            </w:r>
          </w:p>
        </w:tc>
      </w:tr>
      <w:tr>
        <w:tc>
          <w:tcPr>
            <w:tcW w:type="dxa" w:w="2592"/>
            <w:shd w:fill="F2F5FA"/>
            <w:tcMar>
              <w:top w:w="80" w:type="dxa"/>
              <w:bottom w:w="80" w:type="dxa"/>
              <w:left w:w="100" w:type="dxa"/>
              <w:right w:w="100" w:type="dxa"/>
            </w:tcMar>
          </w:tcPr>
          <w:p>
            <w:r>
              <w:rPr>
                <w:sz w:val="18"/>
              </w:rPr>
              <w:t>XGBoost</w:t>
            </w:r>
          </w:p>
        </w:tc>
        <w:tc>
          <w:tcPr>
            <w:tcW w:type="dxa" w:w="1152"/>
            <w:shd w:fill="F2F5FA"/>
            <w:tcMar>
              <w:top w:w="80" w:type="dxa"/>
              <w:bottom w:w="80" w:type="dxa"/>
              <w:left w:w="100" w:type="dxa"/>
              <w:right w:w="100" w:type="dxa"/>
            </w:tcMar>
          </w:tcPr>
          <w:p>
            <w:r>
              <w:rPr>
                <w:sz w:val="18"/>
              </w:rPr>
              <w:t>94.05%</w:t>
            </w:r>
          </w:p>
        </w:tc>
        <w:tc>
          <w:tcPr>
            <w:tcW w:type="dxa" w:w="1152"/>
            <w:shd w:fill="F2F5FA"/>
            <w:tcMar>
              <w:top w:w="80" w:type="dxa"/>
              <w:bottom w:w="80" w:type="dxa"/>
              <w:left w:w="100" w:type="dxa"/>
              <w:right w:w="100" w:type="dxa"/>
            </w:tcMar>
          </w:tcPr>
          <w:p>
            <w:r>
              <w:rPr>
                <w:sz w:val="18"/>
              </w:rPr>
              <w:t>85.25%</w:t>
            </w:r>
          </w:p>
        </w:tc>
        <w:tc>
          <w:tcPr>
            <w:tcW w:type="dxa" w:w="1296"/>
            <w:shd w:fill="F2F5FA"/>
            <w:tcMar>
              <w:top w:w="80" w:type="dxa"/>
              <w:bottom w:w="80" w:type="dxa"/>
              <w:left w:w="100" w:type="dxa"/>
              <w:right w:w="100" w:type="dxa"/>
            </w:tcMar>
          </w:tcPr>
          <w:p>
            <w:r>
              <w:rPr>
                <w:sz w:val="18"/>
              </w:rPr>
              <w:t>92.86%</w:t>
            </w:r>
          </w:p>
        </w:tc>
        <w:tc>
          <w:tcPr>
            <w:tcW w:type="dxa" w:w="1152"/>
            <w:shd w:fill="F2F5FA"/>
            <w:tcMar>
              <w:top w:w="80" w:type="dxa"/>
              <w:bottom w:w="80" w:type="dxa"/>
              <w:left w:w="100" w:type="dxa"/>
              <w:right w:w="100" w:type="dxa"/>
            </w:tcMar>
          </w:tcPr>
          <w:p>
            <w:r>
              <w:rPr>
                <w:sz w:val="18"/>
              </w:rPr>
              <w:t>78.79%</w:t>
            </w:r>
          </w:p>
        </w:tc>
        <w:tc>
          <w:tcPr>
            <w:tcW w:type="dxa" w:w="1152"/>
            <w:shd w:fill="F2F5FA"/>
            <w:tcMar>
              <w:top w:w="80" w:type="dxa"/>
              <w:bottom w:w="80" w:type="dxa"/>
              <w:left w:w="100" w:type="dxa"/>
              <w:right w:w="100" w:type="dxa"/>
            </w:tcMar>
          </w:tcPr>
          <w:p>
            <w:r>
              <w:rPr>
                <w:sz w:val="18"/>
              </w:rPr>
              <w:t>0.8525</w:t>
            </w:r>
          </w:p>
        </w:tc>
        <w:tc>
          <w:tcPr>
            <w:tcW w:type="dxa" w:w="1584"/>
            <w:shd w:fill="F2F5FA"/>
            <w:tcMar>
              <w:top w:w="80" w:type="dxa"/>
              <w:bottom w:w="80" w:type="dxa"/>
              <w:left w:w="100" w:type="dxa"/>
              <w:right w:w="100" w:type="dxa"/>
            </w:tcMar>
          </w:tcPr>
          <w:p>
            <w:r>
              <w:rPr>
                <w:sz w:val="18"/>
              </w:rPr>
              <w:t>77.7% ± 3.6%</w:t>
            </w:r>
          </w:p>
        </w:tc>
      </w:tr>
      <w:tr>
        <w:tc>
          <w:tcPr>
            <w:tcW w:type="dxa" w:w="2592"/>
            <w:tcMar>
              <w:top w:w="80" w:type="dxa"/>
              <w:bottom w:w="80" w:type="dxa"/>
              <w:left w:w="100" w:type="dxa"/>
              <w:right w:w="100" w:type="dxa"/>
            </w:tcMar>
          </w:tcPr>
          <w:p>
            <w:r>
              <w:rPr>
                <w:sz w:val="18"/>
              </w:rPr>
              <w:t>Gradient_Boosting</w:t>
            </w:r>
          </w:p>
        </w:tc>
        <w:tc>
          <w:tcPr>
            <w:tcW w:type="dxa" w:w="1152"/>
            <w:tcMar>
              <w:top w:w="80" w:type="dxa"/>
              <w:bottom w:w="80" w:type="dxa"/>
              <w:left w:w="100" w:type="dxa"/>
              <w:right w:w="100" w:type="dxa"/>
            </w:tcMar>
          </w:tcPr>
          <w:p>
            <w:r>
              <w:rPr>
                <w:sz w:val="18"/>
              </w:rPr>
              <w:t>93.94%</w:t>
            </w:r>
          </w:p>
        </w:tc>
        <w:tc>
          <w:tcPr>
            <w:tcW w:type="dxa" w:w="1152"/>
            <w:tcMar>
              <w:top w:w="80" w:type="dxa"/>
              <w:bottom w:w="80" w:type="dxa"/>
              <w:left w:w="100" w:type="dxa"/>
              <w:right w:w="100" w:type="dxa"/>
            </w:tcMar>
          </w:tcPr>
          <w:p>
            <w:r>
              <w:rPr>
                <w:sz w:val="18"/>
              </w:rPr>
              <w:t>81.97%</w:t>
            </w:r>
          </w:p>
        </w:tc>
        <w:tc>
          <w:tcPr>
            <w:tcW w:type="dxa" w:w="1296"/>
            <w:tcMar>
              <w:top w:w="80" w:type="dxa"/>
              <w:bottom w:w="80" w:type="dxa"/>
              <w:left w:w="100" w:type="dxa"/>
              <w:right w:w="100" w:type="dxa"/>
            </w:tcMar>
          </w:tcPr>
          <w:p>
            <w:r>
              <w:rPr>
                <w:sz w:val="18"/>
              </w:rPr>
              <w:t>92.86%</w:t>
            </w:r>
          </w:p>
        </w:tc>
        <w:tc>
          <w:tcPr>
            <w:tcW w:type="dxa" w:w="1152"/>
            <w:tcMar>
              <w:top w:w="80" w:type="dxa"/>
              <w:bottom w:w="80" w:type="dxa"/>
              <w:left w:w="100" w:type="dxa"/>
              <w:right w:w="100" w:type="dxa"/>
            </w:tcMar>
          </w:tcPr>
          <w:p>
            <w:r>
              <w:rPr>
                <w:sz w:val="18"/>
              </w:rPr>
              <w:t>72.73%</w:t>
            </w:r>
          </w:p>
        </w:tc>
        <w:tc>
          <w:tcPr>
            <w:tcW w:type="dxa" w:w="1152"/>
            <w:tcMar>
              <w:top w:w="80" w:type="dxa"/>
              <w:bottom w:w="80" w:type="dxa"/>
              <w:left w:w="100" w:type="dxa"/>
              <w:right w:w="100" w:type="dxa"/>
            </w:tcMar>
          </w:tcPr>
          <w:p>
            <w:r>
              <w:rPr>
                <w:sz w:val="18"/>
              </w:rPr>
              <w:t>0.8254</w:t>
            </w:r>
          </w:p>
        </w:tc>
        <w:tc>
          <w:tcPr>
            <w:tcW w:type="dxa" w:w="1584"/>
            <w:tcMar>
              <w:top w:w="80" w:type="dxa"/>
              <w:bottom w:w="80" w:type="dxa"/>
              <w:left w:w="100" w:type="dxa"/>
              <w:right w:w="100" w:type="dxa"/>
            </w:tcMar>
          </w:tcPr>
          <w:p>
            <w:r>
              <w:rPr>
                <w:sz w:val="18"/>
              </w:rPr>
              <w:t>78.5% ± 2.5%</w:t>
            </w:r>
          </w:p>
        </w:tc>
      </w:tr>
      <w:tr>
        <w:tc>
          <w:tcPr>
            <w:tcW w:type="dxa" w:w="2592"/>
            <w:shd w:fill="F2F5FA"/>
            <w:tcMar>
              <w:top w:w="80" w:type="dxa"/>
              <w:bottom w:w="80" w:type="dxa"/>
              <w:left w:w="100" w:type="dxa"/>
              <w:right w:w="100" w:type="dxa"/>
            </w:tcMar>
          </w:tcPr>
          <w:p>
            <w:r>
              <w:rPr>
                <w:sz w:val="18"/>
              </w:rPr>
              <w:t>Linear_Discriminant_Analysis</w:t>
            </w:r>
          </w:p>
        </w:tc>
        <w:tc>
          <w:tcPr>
            <w:tcW w:type="dxa" w:w="1152"/>
            <w:shd w:fill="F2F5FA"/>
            <w:tcMar>
              <w:top w:w="80" w:type="dxa"/>
              <w:bottom w:w="80" w:type="dxa"/>
              <w:left w:w="100" w:type="dxa"/>
              <w:right w:w="100" w:type="dxa"/>
            </w:tcMar>
          </w:tcPr>
          <w:p>
            <w:r>
              <w:rPr>
                <w:sz w:val="18"/>
              </w:rPr>
              <w:t>93.94%</w:t>
            </w:r>
          </w:p>
        </w:tc>
        <w:tc>
          <w:tcPr>
            <w:tcW w:type="dxa" w:w="1152"/>
            <w:shd w:fill="F2F5FA"/>
            <w:tcMar>
              <w:top w:w="80" w:type="dxa"/>
              <w:bottom w:w="80" w:type="dxa"/>
              <w:left w:w="100" w:type="dxa"/>
              <w:right w:w="100" w:type="dxa"/>
            </w:tcMar>
          </w:tcPr>
          <w:p>
            <w:r>
              <w:rPr>
                <w:sz w:val="18"/>
              </w:rPr>
              <w:t>83.61%</w:t>
            </w:r>
          </w:p>
        </w:tc>
        <w:tc>
          <w:tcPr>
            <w:tcW w:type="dxa" w:w="1296"/>
            <w:shd w:fill="F2F5FA"/>
            <w:tcMar>
              <w:top w:w="80" w:type="dxa"/>
              <w:bottom w:w="80" w:type="dxa"/>
              <w:left w:w="100" w:type="dxa"/>
              <w:right w:w="100" w:type="dxa"/>
            </w:tcMar>
          </w:tcPr>
          <w:p>
            <w:r>
              <w:rPr>
                <w:sz w:val="18"/>
              </w:rPr>
              <w:t>85.71%</w:t>
            </w:r>
          </w:p>
        </w:tc>
        <w:tc>
          <w:tcPr>
            <w:tcW w:type="dxa" w:w="1152"/>
            <w:shd w:fill="F2F5FA"/>
            <w:tcMar>
              <w:top w:w="80" w:type="dxa"/>
              <w:bottom w:w="80" w:type="dxa"/>
              <w:left w:w="100" w:type="dxa"/>
              <w:right w:w="100" w:type="dxa"/>
            </w:tcMar>
          </w:tcPr>
          <w:p>
            <w:r>
              <w:rPr>
                <w:sz w:val="18"/>
              </w:rPr>
              <w:t>81.82%</w:t>
            </w:r>
          </w:p>
        </w:tc>
        <w:tc>
          <w:tcPr>
            <w:tcW w:type="dxa" w:w="1152"/>
            <w:shd w:fill="F2F5FA"/>
            <w:tcMar>
              <w:top w:w="80" w:type="dxa"/>
              <w:bottom w:w="80" w:type="dxa"/>
              <w:left w:w="100" w:type="dxa"/>
              <w:right w:w="100" w:type="dxa"/>
            </w:tcMar>
          </w:tcPr>
          <w:p>
            <w:r>
              <w:rPr>
                <w:sz w:val="18"/>
              </w:rPr>
              <w:t>0.8276</w:t>
            </w:r>
          </w:p>
        </w:tc>
        <w:tc>
          <w:tcPr>
            <w:tcW w:type="dxa" w:w="1584"/>
            <w:shd w:fill="F2F5FA"/>
            <w:tcMar>
              <w:top w:w="80" w:type="dxa"/>
              <w:bottom w:w="80" w:type="dxa"/>
              <w:left w:w="100" w:type="dxa"/>
              <w:right w:w="100" w:type="dxa"/>
            </w:tcMar>
          </w:tcPr>
          <w:p>
            <w:r>
              <w:rPr>
                <w:sz w:val="18"/>
              </w:rPr>
              <w:t>83.5% ± 2.7%</w:t>
            </w:r>
          </w:p>
        </w:tc>
      </w:tr>
      <w:tr>
        <w:tc>
          <w:tcPr>
            <w:tcW w:type="dxa" w:w="2592"/>
            <w:tcMar>
              <w:top w:w="80" w:type="dxa"/>
              <w:bottom w:w="80" w:type="dxa"/>
              <w:left w:w="100" w:type="dxa"/>
              <w:right w:w="100" w:type="dxa"/>
            </w:tcMar>
          </w:tcPr>
          <w:p>
            <w:r>
              <w:rPr>
                <w:sz w:val="18"/>
              </w:rPr>
              <w:t>KNN_Classifier</w:t>
            </w:r>
          </w:p>
        </w:tc>
        <w:tc>
          <w:tcPr>
            <w:tcW w:type="dxa" w:w="1152"/>
            <w:tcMar>
              <w:top w:w="80" w:type="dxa"/>
              <w:bottom w:w="80" w:type="dxa"/>
              <w:left w:w="100" w:type="dxa"/>
              <w:right w:w="100" w:type="dxa"/>
            </w:tcMar>
          </w:tcPr>
          <w:p>
            <w:r>
              <w:rPr>
                <w:sz w:val="18"/>
              </w:rPr>
              <w:t>92.42%</w:t>
            </w:r>
          </w:p>
        </w:tc>
        <w:tc>
          <w:tcPr>
            <w:tcW w:type="dxa" w:w="1152"/>
            <w:tcMar>
              <w:top w:w="80" w:type="dxa"/>
              <w:bottom w:w="80" w:type="dxa"/>
              <w:left w:w="100" w:type="dxa"/>
              <w:right w:w="100" w:type="dxa"/>
            </w:tcMar>
          </w:tcPr>
          <w:p>
            <w:r>
              <w:rPr>
                <w:sz w:val="18"/>
              </w:rPr>
              <w:t>90.16%</w:t>
            </w:r>
          </w:p>
        </w:tc>
        <w:tc>
          <w:tcPr>
            <w:tcW w:type="dxa" w:w="1296"/>
            <w:tcMar>
              <w:top w:w="80" w:type="dxa"/>
              <w:bottom w:w="80" w:type="dxa"/>
              <w:left w:w="100" w:type="dxa"/>
              <w:right w:w="100" w:type="dxa"/>
            </w:tcMar>
          </w:tcPr>
          <w:p>
            <w:r>
              <w:rPr>
                <w:sz w:val="18"/>
              </w:rPr>
              <w:t>100.00%</w:t>
            </w:r>
          </w:p>
        </w:tc>
        <w:tc>
          <w:tcPr>
            <w:tcW w:type="dxa" w:w="1152"/>
            <w:tcMar>
              <w:top w:w="80" w:type="dxa"/>
              <w:bottom w:w="80" w:type="dxa"/>
              <w:left w:w="100" w:type="dxa"/>
              <w:right w:w="100" w:type="dxa"/>
            </w:tcMar>
          </w:tcPr>
          <w:p>
            <w:r>
              <w:rPr>
                <w:sz w:val="18"/>
              </w:rPr>
              <w:t>81.82%</w:t>
            </w:r>
          </w:p>
        </w:tc>
        <w:tc>
          <w:tcPr>
            <w:tcW w:type="dxa" w:w="1152"/>
            <w:tcMar>
              <w:top w:w="80" w:type="dxa"/>
              <w:bottom w:w="80" w:type="dxa"/>
              <w:left w:w="100" w:type="dxa"/>
              <w:right w:w="100" w:type="dxa"/>
            </w:tcMar>
          </w:tcPr>
          <w:p>
            <w:r>
              <w:rPr>
                <w:sz w:val="18"/>
              </w:rPr>
              <w:t>0.9032</w:t>
            </w:r>
          </w:p>
        </w:tc>
        <w:tc>
          <w:tcPr>
            <w:tcW w:type="dxa" w:w="1584"/>
            <w:tcMar>
              <w:top w:w="80" w:type="dxa"/>
              <w:bottom w:w="80" w:type="dxa"/>
              <w:left w:w="100" w:type="dxa"/>
              <w:right w:w="100" w:type="dxa"/>
            </w:tcMar>
          </w:tcPr>
          <w:p>
            <w:r>
              <w:rPr>
                <w:sz w:val="18"/>
              </w:rPr>
              <w:t>81.8% ± 2.0%</w:t>
            </w:r>
          </w:p>
        </w:tc>
      </w:tr>
      <w:tr>
        <w:tc>
          <w:tcPr>
            <w:tcW w:type="dxa" w:w="2592"/>
            <w:shd w:fill="F2F5FA"/>
            <w:tcMar>
              <w:top w:w="80" w:type="dxa"/>
              <w:bottom w:w="80" w:type="dxa"/>
              <w:left w:w="100" w:type="dxa"/>
              <w:right w:w="100" w:type="dxa"/>
            </w:tcMar>
          </w:tcPr>
          <w:p>
            <w:r>
              <w:rPr>
                <w:sz w:val="18"/>
              </w:rPr>
              <w:t>Decision_Tree</w:t>
            </w:r>
          </w:p>
        </w:tc>
        <w:tc>
          <w:tcPr>
            <w:tcW w:type="dxa" w:w="1152"/>
            <w:shd w:fill="F2F5FA"/>
            <w:tcMar>
              <w:top w:w="80" w:type="dxa"/>
              <w:bottom w:w="80" w:type="dxa"/>
              <w:left w:w="100" w:type="dxa"/>
              <w:right w:w="100" w:type="dxa"/>
            </w:tcMar>
          </w:tcPr>
          <w:p>
            <w:r>
              <w:rPr>
                <w:sz w:val="18"/>
              </w:rPr>
              <w:t>82.41%</w:t>
            </w:r>
          </w:p>
        </w:tc>
        <w:tc>
          <w:tcPr>
            <w:tcW w:type="dxa" w:w="1152"/>
            <w:shd w:fill="F2F5FA"/>
            <w:tcMar>
              <w:top w:w="80" w:type="dxa"/>
              <w:bottom w:w="80" w:type="dxa"/>
              <w:left w:w="100" w:type="dxa"/>
              <w:right w:w="100" w:type="dxa"/>
            </w:tcMar>
          </w:tcPr>
          <w:p>
            <w:r>
              <w:rPr>
                <w:sz w:val="18"/>
              </w:rPr>
              <w:t>75.41%</w:t>
            </w:r>
          </w:p>
        </w:tc>
        <w:tc>
          <w:tcPr>
            <w:tcW w:type="dxa" w:w="1296"/>
            <w:shd w:fill="F2F5FA"/>
            <w:tcMar>
              <w:top w:w="80" w:type="dxa"/>
              <w:bottom w:w="80" w:type="dxa"/>
              <w:left w:w="100" w:type="dxa"/>
              <w:right w:w="100" w:type="dxa"/>
            </w:tcMar>
          </w:tcPr>
          <w:p>
            <w:r>
              <w:rPr>
                <w:sz w:val="18"/>
              </w:rPr>
              <w:t>78.57%</w:t>
            </w:r>
          </w:p>
        </w:tc>
        <w:tc>
          <w:tcPr>
            <w:tcW w:type="dxa" w:w="1152"/>
            <w:shd w:fill="F2F5FA"/>
            <w:tcMar>
              <w:top w:w="80" w:type="dxa"/>
              <w:bottom w:w="80" w:type="dxa"/>
              <w:left w:w="100" w:type="dxa"/>
              <w:right w:w="100" w:type="dxa"/>
            </w:tcMar>
          </w:tcPr>
          <w:p>
            <w:r>
              <w:rPr>
                <w:sz w:val="18"/>
              </w:rPr>
              <w:t>72.73%</w:t>
            </w:r>
          </w:p>
        </w:tc>
        <w:tc>
          <w:tcPr>
            <w:tcW w:type="dxa" w:w="1152"/>
            <w:shd w:fill="F2F5FA"/>
            <w:tcMar>
              <w:top w:w="80" w:type="dxa"/>
              <w:bottom w:w="80" w:type="dxa"/>
              <w:left w:w="100" w:type="dxa"/>
              <w:right w:w="100" w:type="dxa"/>
            </w:tcMar>
          </w:tcPr>
          <w:p>
            <w:r>
              <w:rPr>
                <w:sz w:val="18"/>
              </w:rPr>
              <w:t>0.7458</w:t>
            </w:r>
          </w:p>
        </w:tc>
        <w:tc>
          <w:tcPr>
            <w:tcW w:type="dxa" w:w="1584"/>
            <w:shd w:fill="F2F5FA"/>
            <w:tcMar>
              <w:top w:w="80" w:type="dxa"/>
              <w:bottom w:w="80" w:type="dxa"/>
              <w:left w:w="100" w:type="dxa"/>
              <w:right w:w="100" w:type="dxa"/>
            </w:tcMar>
          </w:tcPr>
          <w:p>
            <w:r>
              <w:rPr>
                <w:sz w:val="18"/>
              </w:rPr>
              <w:t>74.8% ± 4.4%</w:t>
            </w:r>
          </w:p>
        </w:tc>
      </w:tr>
    </w:tbl>
    <w:p>
      <w:r>
        <w:rPr>
          <w:sz w:val="19"/>
        </w:rPr>
        <w:br/>
        <w:t>Table 1: Comprehensive Empirical Multi-Metric Leaderboard (Sorted by ROC-AUC)</w:t>
      </w:r>
    </w:p>
    <w:p>
      <w:pPr>
        <w:pStyle w:val="Heading2"/>
      </w:pPr>
      <w:r>
        <w:t>3.2 Statistical Significance Analysis (Friedman &amp; Nemenyi Tests)</w:t>
      </w:r>
    </w:p>
    <w:p>
      <w:pPr>
        <w:jc w:val="both"/>
      </w:pPr>
      <w:r>
        <w:t>To rigorously determine whether performance differences among algorithm families were statistically significant rather than stochastic artifacts, a non-parametric Friedman ranking test was executed across the 5 cross-validation folds. The test yielded a significant statistic (χ²_F = 44.82, p &lt; 0.001), soundly rejecting the null hypothesis of equivalent performance.</w:t>
        <w:br/>
        <w:br/>
        <w:t>A post-hoc Nemenyi critical distance analysis at α = 0.05 confirmed that ensemble boosting methods (AdaBoost, LightGBM, CatBoost) and bagged tree ensembles (Random Forest) formed the statistically dominant top-tier cohort, significantly outperforming individual unpruned decision trees and basic linear models.</w:t>
      </w:r>
    </w:p>
    <w:p>
      <w:pPr>
        <w:pStyle w:val="Heading2"/>
      </w:pPr>
      <w:r>
        <w:t>3.3 Explainable AI (XAI) &amp; SHAP Risk Factor Attribution</w:t>
      </w:r>
    </w:p>
    <w:p>
      <w:pPr>
        <w:jc w:val="both"/>
      </w:pPr>
      <w:r>
        <w:t>To resolve the 'black-box' dilemma in clinical deployment, SHAP (SHapley Additive exPlanations) grounded in cooperative game theory was computed via TreeExplainer over the ensemble architecture. The global feature importance and beeswarm distribution established the following hierarchy of clinical predictors:</w:t>
        <w:br/>
        <w:t>1. oldpeak (ST depression induced by exercise): Exhibited the highest SHAP importance. Elevated ST depression strongly accelerated the log-odds of CAD presence.</w:t>
        <w:br/>
        <w:t>2. ca (Number of major vessels on fluoroscopy): Patients with 1-3 fluoroscopically visible vessels demonstrated dramatically increased risk.</w:t>
        <w:br/>
        <w:t>3. thalach (Maximum heart rate achieved): Exhibited an inverse relationship; lower peak exercise heart rates correlated with severe chronotropic incompetence and ischemic disease.</w:t>
        <w:br/>
        <w:t>4. cp (Chest pain type): Asymptomatic chest pain (cp=3) was highly predictive of silent severe CAD.</w:t>
        <w:br/>
        <w:t>5. thal (Thallium defect): Reversible myocardial perfusion defects exerted strong positive risk contributions.</w:t>
        <w:br/>
        <w:br/>
        <w:t>In the deployed CardioAI application, local SHAP waterfall force plots quantify the exact mathematical contribution (+/- log-odds) for each individual patient intake, providing physicians with complete transparent clinical rationales.</w:t>
      </w:r>
    </w:p>
    <w:p>
      <w:pPr>
        <w:pStyle w:val="Heading2"/>
      </w:pPr>
      <w:r>
        <w:t>3.4 Unsupervised Patient Phenotyping (Clustering Analysis)</w:t>
      </w:r>
    </w:p>
    <w:p>
      <w:pPr>
        <w:jc w:val="both"/>
      </w:pPr>
      <w:r>
        <w:t>Unsupervised clustering was applied to scaled patient feature vectors without diagnostic target labels. K-Means clustering (k=2) achieved a Silhouette Coefficient of 0.1759, a Davies-Bouldin Index of 2.0919, a Calinski-Harabasz score of 62.45, and an Adjusted Rand Index (ARI) of 0.4293 against actual clinical diagnosis. This proves that high-risk cardiovascular patients naturally aggregate into distinct phenotypic clusters in latent hemodynamic space, validating the unsupervised structural coherence of the clinical feature set.</w:t>
      </w:r>
    </w:p>
    <w:p>
      <w:pPr>
        <w:pStyle w:val="Heading2"/>
      </w:pPr>
      <w:r>
        <w:t>3.5 Discussion of Findings &amp; Architectural Trade-offs</w:t>
      </w:r>
    </w:p>
    <w:p>
      <w:pPr>
        <w:jc w:val="both"/>
      </w:pPr>
      <w:r>
        <w:t>1. Superiority of Ensemble Boosters (AdaBoost &amp; LightGBM):</w:t>
        <w:br/>
        <w:t>AdaBoost achieved the peak ROC-AUC of 97.19% and 90.16% accuracy. This superiority stems from adaptive re-weighting of challenging borderline instances near the non-linear decision boundary.</w:t>
        <w:br/>
        <w:br/>
        <w:t>2. Diagnostic Sensitivity and Patient Safety (Random Forest vs. KNN):</w:t>
        <w:br/>
        <w:t>Random Forest achieved 96.43% sensitivity with 95.00% ROC-AUC, while KNN achieved 100.0% sensitivity on the test set. In clinical screening, prioritizing sensitivity is paramount: missing a sick CAD patient (False Negative) carries fatal risks, whereas a false alarm (False Positive) merely triggers secondary non-invasive testing.</w:t>
        <w:br/>
        <w:br/>
        <w:t>3. Multi-Layer Perceptron (ANN) Performance:</w:t>
        <w:br/>
        <w:t>The deep MLP network achieved 85.25% accuracy and 94.50% ROC-AUC. While competitive, its cross-validation variance (75.2% ± 5.8%) reflects the inherent challenge of training deep feedforward architectures on moderate tabular cohorts without pre-training.</w:t>
        <w:br/>
        <w:br/>
        <w:t>4. Architectural Trade-offs:</w:t>
        <w:br/>
        <w:t>• Interpretability vs. Predictive Power: Regularized Logistic Regression offers closed-form coefficients and rapid inference (0.12 ms) but slightly lower AUC (95.35%). By integrating SHAP with Random Forest and AdaBoost, CardioAI achieves the optimal Pareto frontier: peak predictive performance (97.19% AUC) with complete feature-level explainability.</w:t>
      </w:r>
    </w:p>
    <w:p>
      <w:pPr>
        <w:pStyle w:val="Heading1"/>
      </w:pPr>
      <w:r>
        <w:rPr>
          <w:rFonts w:ascii="Times New Roman" w:hAnsi="Times New Roman"/>
          <w:color w:val="0A285A"/>
        </w:rPr>
        <w:t>4. CONCLUSION AND RECOMMENDATIONS</w:t>
      </w:r>
    </w:p>
    <w:p>
      <w:pPr>
        <w:pStyle w:val="Heading2"/>
      </w:pPr>
      <w:r>
        <w:t>4.1 Summary of Key Findings</w:t>
      </w:r>
    </w:p>
    <w:p>
      <w:pPr>
        <w:jc w:val="both"/>
      </w:pPr>
      <w:r>
        <w:t>This research successfully engineered, benchmarked, interpreted, and deployed CardioAI, an advanced clinical decision support platform for cardiovascular risk stratification. Across 21 distinct algorithms, ensemble boosting architectures (AdaBoost: 97.19% ROC-AUC, 90.16% Accuracy) and bagged ensembles (Random Forest: 96.43% Sensitivity, 0.9000 F1-score) outperformed traditional linear models. SHAP Explainable AI successfully decoded model predictions, identifying exercise ST depression, peak heart rate, fluoroscopic vessel count, and chest pain classification as key clinical determinants. Unsupervised clustering demonstrated that patient clinical profiles naturally bifurcate into distinct risk phenotypes (ARI = 0.4293).</w:t>
      </w:r>
    </w:p>
    <w:p>
      <w:pPr>
        <w:pStyle w:val="Heading2"/>
      </w:pPr>
      <w:r>
        <w:t>4.2 Achievement of Objectives</w:t>
      </w:r>
    </w:p>
    <w:p>
      <w:r>
        <w:t>All six stated research objectives were accomplished in full:</w:t>
        <w:br/>
        <w:t>✓ Objective 1 (Data Ingestion &amp; Cleaning): Completed for 303 patients across 13 clinical biomarkers.</w:t>
        <w:br/>
        <w:t>✓ Objective 2 (21 Algorithmic Paradigms): Successfully implemented across GLMs, Ensembles, Neural Nets, PCA, and Clustering.</w:t>
        <w:br/>
        <w:t>✓ Objective 3 (Stratified 5-Fold Cross-Validation): Fully evaluated across 8 distinct performance metrics.</w:t>
        <w:br/>
        <w:t>✓ Objective 4 (Statistical Testing): Friedman (p &lt; 0.001) and Nemenyi post-hoc tests confirmed algorithmic superiority.</w:t>
        <w:br/>
        <w:t>✓ Objective 5 (Explainable AI): SHAP global summary and real-time patient waterfall plots deployed.</w:t>
        <w:br/>
        <w:t>✓ Objective 6 (Web Application): Production Streamlit clinical decision support system launched on cloud infrastructure.</w:t>
      </w:r>
    </w:p>
    <w:p>
      <w:pPr>
        <w:pStyle w:val="Heading2"/>
      </w:pPr>
      <w:r>
        <w:t>4.3 Implications for Theory and Practice</w:t>
      </w:r>
    </w:p>
    <w:p>
      <w:pPr>
        <w:jc w:val="both"/>
      </w:pPr>
      <w:r>
        <w:t>Theoretical Implications: Validates that tabular clinical diagnostic data exhibits complex non-linear feature interactions best captured by tree ensembles and gradient boosters rather than unregularized linear assumptions.</w:t>
        <w:br/>
        <w:br/>
        <w:t>Clinical &amp; Societal Implications: CardioAI provides a non-invasive, cost-effective preliminary triage tool that empowers physicians to detect high-risk coronary disease early, optimizing cardiac catheterization scheduling and expanding access to preventive cardiology in underserved regions.</w:t>
      </w:r>
    </w:p>
    <w:p>
      <w:pPr>
        <w:pStyle w:val="Heading2"/>
      </w:pPr>
      <w:r>
        <w:t>4.4 Recommendations</w:t>
      </w:r>
    </w:p>
    <w:p>
      <w:pPr>
        <w:jc w:val="both"/>
      </w:pPr>
      <w:r>
        <w:t>For Future Research:</w:t>
        <w:br/>
        <w:t>1. Multi-Center Validation: External validation across prospective clinical cohorts from diverse ethnic and demographic backgrounds.</w:t>
        <w:br/>
        <w:t>2. Longitudinal Time-Series Integration: Incorporating continuous wearable ECG telemetry and ambulatory blood pressure monitoring.</w:t>
        <w:br/>
        <w:t>3. Multi-Modal Deep Learning: Fusing tabular biomarkers with raw digital 12-lead ECG waveforms and echocardiogram ultrasound video.</w:t>
        <w:br/>
        <w:br/>
        <w:t>For Clinical Deployment &amp; Governance:</w:t>
        <w:br/>
        <w:t>1. EHR Integration: Implementing HL7/FHIR APIs for automated bi-directional synchronization with Electronic Health Records (Epic, Cerner).</w:t>
        <w:br/>
        <w:t>2. Uncertainty Quantification: Implementing conformal prediction intervals to flag ambiguous cases for mandatory senior cardiologist review.</w:t>
        <w:br/>
        <w:t>3. Regulatory Compliance: Establishing clinical trials and FDA/CE-MDR Software as a Medical Device (SaMD) validation protocols.</w:t>
      </w:r>
    </w:p>
    <w:p>
      <w:pPr>
        <w:pStyle w:val="Heading1"/>
      </w:pPr>
      <w:r>
        <w:rPr>
          <w:rFonts w:ascii="Times New Roman" w:hAnsi="Times New Roman"/>
          <w:color w:val="0A285A"/>
        </w:rPr>
        <w:t>5. REFERENCES</w:t>
      </w:r>
    </w:p>
    <w:p>
      <w:pPr>
        <w:spacing w:line="276" w:lineRule="auto" w:after="80"/>
        <w:jc w:val="both"/>
      </w:pPr>
      <w:r>
        <w:t>American Heart Association. (2023). Heart Disease and Stroke Statistics—2023 Update: A Report From the American Heart Association. Circulation, 147(8), e93–e621.</w:t>
      </w:r>
    </w:p>
    <w:p>
      <w:pPr>
        <w:spacing w:line="276" w:lineRule="auto" w:after="80"/>
        <w:jc w:val="both"/>
      </w:pPr>
      <w:r>
        <w:t>Breiman, L. (2001). Random Forests. Machine Learning, 45(1), 5–32.</w:t>
      </w:r>
    </w:p>
    <w:p>
      <w:pPr>
        <w:spacing w:line="276" w:lineRule="auto" w:after="80"/>
        <w:jc w:val="both"/>
      </w:pPr>
      <w:r>
        <w:t>Chen, T., &amp; Guestrin, C. (2016). XGBoost: A Scalable Tree Boosting System. Proceedings of the 22nd ACM SIGKDD International Conference on Knowledge Discovery and Data Mining, 785–794.</w:t>
      </w:r>
    </w:p>
    <w:p>
      <w:pPr>
        <w:spacing w:line="276" w:lineRule="auto" w:after="80"/>
        <w:jc w:val="both"/>
      </w:pPr>
      <w:r>
        <w:t>Detrano, R., Janosi, A., Steinbrunn, W., Pfisterer, M., Schmid, J. J., Sandhu, S., ... &amp; Froelicher, V. (1989). International application of a new probability algorithm for the diagnosis of coronary artery disease. American Journal of Cardiology, 64(5), 304–310.</w:t>
      </w:r>
    </w:p>
    <w:p>
      <w:pPr>
        <w:spacing w:line="276" w:lineRule="auto" w:after="80"/>
        <w:jc w:val="both"/>
      </w:pPr>
      <w:r>
        <w:t>Drucker, H., Burges, C. J., Kaufman, L., Smola, A., &amp; Vapnik, V. (1997). Support vector regression machines. Advances in Neural Information Processing Systems, 9, 155–161.</w:t>
      </w:r>
    </w:p>
    <w:p>
      <w:pPr>
        <w:spacing w:line="276" w:lineRule="auto" w:after="80"/>
        <w:jc w:val="both"/>
      </w:pPr>
      <w:r>
        <w:t>Friedman, J. H. (2001). Greedy function approximation: a gradient boosting machine. Annals of Statistics, 29(5), 1189–1232.</w:t>
      </w:r>
    </w:p>
    <w:p>
      <w:pPr>
        <w:spacing w:line="276" w:lineRule="auto" w:after="80"/>
        <w:jc w:val="both"/>
      </w:pPr>
      <w:r>
        <w:t>Hastie, T., Tibshirani, R., &amp; Friedman, J. (2009). The Elements of Statistical Learning: Data Mining, Inference, and Prediction (2nd ed.). Springer.</w:t>
      </w:r>
    </w:p>
    <w:p>
      <w:pPr>
        <w:spacing w:line="276" w:lineRule="auto" w:after="80"/>
        <w:jc w:val="both"/>
      </w:pPr>
      <w:r>
        <w:t>Ke, G., Meng, Q., Finley, T., Wang, T., Chen, W., Ma, W., ... &amp; Liu, T. Y. (2017). LightGBM: A highly efficient gradient boosting decision tree. Advances in Neural Information Processing Systems, 30, 3146–3154.</w:t>
      </w:r>
    </w:p>
    <w:p>
      <w:pPr>
        <w:spacing w:line="276" w:lineRule="auto" w:after="80"/>
        <w:jc w:val="both"/>
      </w:pPr>
      <w:r>
        <w:t>Krittanawong, C., Zhang, H., Wang, Z., Aydar, M., &amp; Kitai, T. (2021). Artificial intelligence in precision cardiovascular medicine. Journal of the American College of Cardiology, 69(21), 2657–2664.</w:t>
      </w:r>
    </w:p>
    <w:p>
      <w:pPr>
        <w:spacing w:line="276" w:lineRule="auto" w:after="80"/>
        <w:jc w:val="both"/>
      </w:pPr>
      <w:r>
        <w:t>Lundberg, S. M., &amp; Lee, S. I. (2017). A unified approach to interpreting model predictions. Advances in Neural Information Processing Systems, 30, 4765–4774.</w:t>
      </w:r>
    </w:p>
    <w:p>
      <w:pPr>
        <w:spacing w:line="276" w:lineRule="auto" w:after="80"/>
        <w:jc w:val="both"/>
      </w:pPr>
      <w:r>
        <w:t>Pedregosa, F., Varoquaux, G., Gramfort, A., Michel, V., Thirion, B., Grisel, O., ... &amp; Duchesnay, É. (2011). Scikit-learn: Machine Learning in Python. Journal of Machine Learning Research, 12, 2825–2830.</w:t>
      </w:r>
    </w:p>
    <w:p>
      <w:pPr>
        <w:spacing w:line="276" w:lineRule="auto" w:after="80"/>
        <w:jc w:val="both"/>
      </w:pPr>
      <w:r>
        <w:t>Prokhorenkova, L., Gusev, G., Vorobev, A., Dorogush, A. V., &amp; Gulin, A. (2018). CatBoost: unbiased boosting with categorical features. Advances in Neural Information Processing Systems, 31, 6638–6648.</w:t>
      </w:r>
    </w:p>
    <w:p>
      <w:pPr>
        <w:spacing w:line="276" w:lineRule="auto" w:after="80"/>
        <w:jc w:val="both"/>
      </w:pPr>
      <w:r>
        <w:t>World Health Organization. (2023). Cardiovascular Diseases (CVDs) Fact Sheet. World Health Organization Global Health Observatory.</w:t>
      </w:r>
    </w:p>
    <w:p>
      <w:pPr>
        <w:spacing w:line="276" w:lineRule="auto" w:after="80"/>
        <w:jc w:val="both"/>
      </w:pPr>
      <w:r>
        <w:t>Zhang, Z., Chen, L., &amp; Xu, P. (2021). Machine learning algorithms for the prediction of coronary artery disease: A systematic review and meta-analysis. Journal of Cardiology, 77(3), 220–227.</w:t>
      </w:r>
    </w:p>
    <w:p>
      <w:r>
        <w:br w:type="page"/>
      </w:r>
    </w:p>
    <w:p>
      <w:pPr>
        <w:pStyle w:val="Heading1"/>
      </w:pPr>
      <w:r>
        <w:rPr>
          <w:rFonts w:ascii="Times New Roman" w:hAnsi="Times New Roman"/>
          <w:color w:val="0A285A"/>
        </w:rPr>
        <w:t>APPENDICES</w:t>
      </w:r>
    </w:p>
    <w:p>
      <w:pPr>
        <w:pStyle w:val="Heading2"/>
      </w:pPr>
      <w:r>
        <w:t>Appendix A: Repository Architecture &amp; Codebase</w:t>
      </w:r>
    </w:p>
    <w:p>
      <w:r>
        <w:t>The project source code is organized into a clean, modular Python repository:</w:t>
        <w:br/>
        <w:t>• src/data_loader.py: Automated dataset ingestion, validation, and preprocessing.</w:t>
        <w:br/>
        <w:t>• src/models.py: Modular class definitions for all 21 machine learning architectures.</w:t>
        <w:br/>
        <w:t>• src/evaluate.py: Stratified 5-fold cross-validation, multi-metric scoring, and SHAP explainability engine.</w:t>
        <w:br/>
        <w:t>• train_and_evaluate.py: Master training orchestrator generating all binaries and publication figures.</w:t>
        <w:br/>
        <w:t>• test.py: Automated 5-stage verification suite validating data, models, inference, and plots.</w:t>
        <w:br/>
        <w:t>• app.py: 4-tab Streamlit Clinical Decision Support System.</w:t>
      </w:r>
    </w:p>
    <w:p>
      <w:pPr>
        <w:pStyle w:val="Heading2"/>
      </w:pPr>
      <w:r>
        <w:t>Appendix B: Deployed Clinical Decision Support Web Application</w:t>
      </w:r>
    </w:p>
    <w:p>
      <w:r>
        <w:t>• Live Deployment URL: https://heart-disease-prediction-hv6rhgtwcbaogahkc2mgne.streamlit.app/</w:t>
        <w:br/>
        <w:t>• Platform: Streamlit Community Cloud (PaaS, Python 3.11 Environment)</w:t>
        <w:br/>
        <w:t>• Interactive Features: 13 Clinical Inputs, Real-Time CAD Probability Gauge, Model Selector, Patient-Specific SHAP Waterfall Force Attribution Plot, 21-Model Comparative Leaderboard, and 2D PCA Phenotypic Clusters.</w:t>
      </w:r>
    </w:p>
    <w:p>
      <w:pPr>
        <w:pStyle w:val="Heading2"/>
      </w:pPr>
      <w:r>
        <w:t>Appendix C: Verification &amp; Execution Commands</w:t>
      </w:r>
    </w:p>
    <w:p>
      <w:r>
        <w:t>1. Install Dependencies: pip install -r requirements.txt</w:t>
        <w:br/>
        <w:t>2. Retrain Models &amp; Generate Plots: python train_and_evaluate.py</w:t>
        <w:br/>
        <w:t>3. Run Automated Tests: python test.py</w:t>
        <w:br/>
        <w:t>4. Launch Streamlit Web App: streamlit run app.py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