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b/>
          <w:i w:val="0"/>
          <w:color w:val="1F4E79"/>
          <w:sz w:val="44"/>
        </w:rPr>
        <w:t>Leak-Free Reanalysis Rectification Note</w:t>
      </w:r>
    </w:p>
    <w:p>
      <w:pPr>
        <w:spacing w:after="40"/>
      </w:pPr>
      <w:r>
        <w:rPr>
          <w:rFonts w:ascii="Aptos" w:hAnsi="Aptos" w:eastAsia="Aptos"/>
          <w:b w:val="0"/>
          <w:i w:val="0"/>
          <w:color w:val="5A5A5A"/>
          <w:sz w:val="22"/>
        </w:rPr>
        <w:t>Detailed record of the code modifications made to remove feature-selection leakage and reinforce the research workflow.</w:t>
      </w:r>
    </w:p>
    <w:tbl>
      <w:tblPr>
        <w:tblW w:type="auto" w:w="0"/>
        <w:jc w:val="left"/>
        <w:tblLayout w:type="fixed"/>
        <w:tblLook w:firstColumn="1" w:firstRow="1" w:lastColumn="0" w:lastRow="0" w:noHBand="0" w:noVBand="1" w:val="04A0"/>
      </w:tblPr>
      <w:tblGrid>
        <w:gridCol w:w="3312"/>
        <w:gridCol w:w="3312"/>
        <w:gridCol w:w="3312"/>
      </w:tblGrid>
      <w:tr>
        <w:tc>
          <w:tcPr>
            <w:tcW w:type="dxa" w:w="1728"/>
            <w:vAlign w:val="center"/>
            <w:tcMar>
              <w:top w:w="80" w:type="dxa"/>
              <w:start w:w="110" w:type="dxa"/>
              <w:bottom w:w="80" w:type="dxa"/>
              <w:end w:w="110" w:type="dxa"/>
            </w:tcMar>
            <w:shd w:fill="DCE6F1"/>
          </w:tcPr>
          <w:p>
            <w:r>
              <w:rPr>
                <w:rFonts w:ascii="Aptos" w:hAnsi="Aptos" w:eastAsia="Aptos"/>
                <w:b/>
                <w:i w:val="0"/>
                <w:color w:val="1F4E79"/>
                <w:sz w:val="20"/>
              </w:rPr>
              <w:t>Audience</w:t>
            </w:r>
          </w:p>
        </w:tc>
        <w:tc>
          <w:tcPr>
            <w:tcW w:type="dxa" w:w="3312"/>
            <w:vAlign w:val="center"/>
            <w:tcMar>
              <w:top w:w="80" w:type="dxa"/>
              <w:start w:w="110" w:type="dxa"/>
              <w:bottom w:w="80" w:type="dxa"/>
              <w:end w:w="110" w:type="dxa"/>
            </w:tcMar>
            <w:shd w:fill="DCE6F1"/>
          </w:tcPr>
          <w:p>
            <w:r>
              <w:rPr>
                <w:rFonts w:ascii="Aptos" w:hAnsi="Aptos" w:eastAsia="Aptos"/>
                <w:b/>
                <w:i w:val="0"/>
                <w:color w:val="1F4E79"/>
                <w:sz w:val="20"/>
              </w:rPr>
              <w:t>Repository</w:t>
            </w:r>
          </w:p>
        </w:tc>
        <w:tc>
          <w:tcPr>
            <w:tcW w:type="dxa" w:w="3600"/>
            <w:vAlign w:val="center"/>
            <w:tcMar>
              <w:top w:w="80" w:type="dxa"/>
              <w:start w:w="110" w:type="dxa"/>
              <w:bottom w:w="80" w:type="dxa"/>
              <w:end w:w="110" w:type="dxa"/>
            </w:tcMar>
            <w:shd w:fill="DCE6F1"/>
          </w:tcPr>
          <w:p>
            <w:r>
              <w:rPr>
                <w:rFonts w:ascii="Aptos" w:hAnsi="Aptos" w:eastAsia="Aptos"/>
                <w:b/>
                <w:i w:val="0"/>
                <w:color w:val="1F4E79"/>
                <w:sz w:val="20"/>
              </w:rPr>
              <w:t>Date</w:t>
            </w:r>
          </w:p>
        </w:tc>
      </w:tr>
      <w:tr>
        <w:tc>
          <w:tcPr>
            <w:tcW w:type="dxa" w:w="1728"/>
            <w:vAlign w:val="center"/>
            <w:tcMar>
              <w:top w:w="80" w:type="dxa"/>
              <w:start w:w="110" w:type="dxa"/>
              <w:bottom w:w="80" w:type="dxa"/>
              <w:end w:w="110" w:type="dxa"/>
            </w:tcMar>
          </w:tcPr>
          <w:p>
            <w:r>
              <w:rPr>
                <w:rFonts w:ascii="Aptos" w:hAnsi="Aptos" w:eastAsia="Aptos"/>
                <w:b w:val="0"/>
                <w:i w:val="0"/>
                <w:sz w:val="21"/>
              </w:rPr>
              <w:t>Supervisor, collaborators, and peer-review response drafting</w:t>
            </w:r>
          </w:p>
        </w:tc>
        <w:tc>
          <w:tcPr>
            <w:tcW w:type="dxa" w:w="3312"/>
            <w:vAlign w:val="center"/>
            <w:tcMar>
              <w:top w:w="80" w:type="dxa"/>
              <w:start w:w="110" w:type="dxa"/>
              <w:bottom w:w="80" w:type="dxa"/>
              <w:end w:w="110" w:type="dxa"/>
            </w:tcMar>
          </w:tcPr>
          <w:p>
            <w:r>
              <w:rPr>
                <w:rFonts w:ascii="Aptos" w:hAnsi="Aptos" w:eastAsia="Aptos"/>
                <w:b w:val="0"/>
                <w:i w:val="0"/>
                <w:sz w:val="21"/>
              </w:rPr>
              <w:t>XAI-for-ASD</w:t>
            </w:r>
          </w:p>
        </w:tc>
        <w:tc>
          <w:tcPr>
            <w:tcW w:type="dxa" w:w="3600"/>
            <w:vAlign w:val="center"/>
            <w:tcMar>
              <w:top w:w="80" w:type="dxa"/>
              <w:start w:w="110" w:type="dxa"/>
              <w:bottom w:w="80" w:type="dxa"/>
              <w:end w:w="110" w:type="dxa"/>
            </w:tcMar>
          </w:tcPr>
          <w:p>
            <w:r>
              <w:rPr>
                <w:rFonts w:ascii="Aptos" w:hAnsi="Aptos" w:eastAsia="Aptos"/>
                <w:b w:val="0"/>
                <w:i w:val="0"/>
                <w:sz w:val="21"/>
              </w:rPr>
              <w:t>1 May 2026</w:t>
            </w:r>
          </w:p>
        </w:tc>
      </w:tr>
    </w:tbl>
    <w:p/>
    <w:tbl>
      <w:tblPr>
        <w:tblW w:type="auto" w:w="0"/>
        <w:jc w:val="left"/>
        <w:tblLayout w:type="autofit"/>
        <w:tblLook w:firstColumn="1" w:firstRow="1" w:lastColumn="0" w:lastRow="0" w:noHBand="0" w:noVBand="1" w:val="04A0"/>
      </w:tblPr>
      <w:tblGrid>
        <w:gridCol w:w="9936"/>
      </w:tblGrid>
      <w:tr>
        <w:tc>
          <w:tcPr>
            <w:tcW w:type="dxa" w:w="9936"/>
            <w:shd w:fill="F3F6FA"/>
            <w:tcMar>
              <w:top w:w="120" w:type="dxa"/>
              <w:start w:w="140" w:type="dxa"/>
              <w:bottom w:w="120" w:type="dxa"/>
              <w:end w:w="140" w:type="dxa"/>
            </w:tcMar>
          </w:tcPr>
          <w:p>
            <w:r>
              <w:rPr>
                <w:rFonts w:ascii="Aptos" w:hAnsi="Aptos" w:eastAsia="Aptos"/>
                <w:b/>
                <w:i w:val="0"/>
                <w:color w:val="1F4E79"/>
                <w:sz w:val="21"/>
              </w:rPr>
              <w:t xml:space="preserve">Bottom line: </w:t>
            </w:r>
            <w:r>
              <w:rPr>
                <w:rFonts w:ascii="Aptos" w:hAnsi="Aptos" w:eastAsia="Aptos"/>
                <w:b w:val="0"/>
                <w:i w:val="0"/>
                <w:sz w:val="21"/>
              </w:rPr>
              <w:t>The updated code now forces feature selection to occur inside each training fold rather than once on the full dataset. This directly addresses the leakage concern raised against the original experimental workflow.</w:t>
            </w:r>
          </w:p>
        </w:tc>
      </w:tr>
    </w:tbl>
    <w:p/>
    <w:p>
      <w:pPr>
        <w:pStyle w:val="Heading1"/>
        <w:spacing w:before="160" w:after="80"/>
      </w:pPr>
      <w:r>
        <w:rPr>
          <w:rFonts w:ascii="Aptos" w:hAnsi="Aptos" w:eastAsia="Aptos"/>
          <w:b/>
          <w:i w:val="0"/>
          <w:color w:val="1F4E79"/>
          <w:sz w:val="28"/>
        </w:rPr>
        <w:t>1. Problem Being Rectified</w:t>
      </w:r>
    </w:p>
    <w:p>
      <w:pPr>
        <w:spacing w:after="120"/>
      </w:pPr>
      <w:r>
        <w:rPr>
          <w:rFonts w:ascii="Aptos" w:hAnsi="Aptos" w:eastAsia="Aptos"/>
          <w:b w:val="0"/>
          <w:i w:val="0"/>
          <w:sz w:val="22"/>
        </w:rPr>
        <w:t>The original published workflow converts each subject's ROI time series into pairwise functional-connectivity features: 116 AAL regions produce a 116 x 116 connectivity matrix, Fisher-Z normalization is applied, and the lower triangle is flattened into 6,670 edges per subject.</w:t>
      </w:r>
    </w:p>
    <w:p>
      <w:pPr>
        <w:spacing w:after="120"/>
      </w:pPr>
      <w:r>
        <w:rPr>
          <w:rFonts w:ascii="Aptos" w:hAnsi="Aptos" w:eastAsia="Aptos"/>
          <w:b w:val="0"/>
          <w:i w:val="0"/>
          <w:sz w:val="22"/>
        </w:rPr>
        <w:t>The methodological risk arose because the earlier implementation performed SVM-RFE globally and only then cross-validated the reduced 1,000-feature matrix. In that order, subjects that later appear in held-out test folds can influence which features are retained.</w:t>
      </w:r>
    </w:p>
    <w:p>
      <w:pPr>
        <w:spacing w:after="120"/>
      </w:pPr>
      <w:r>
        <w:rPr>
          <w:rFonts w:ascii="Aptos" w:hAnsi="Aptos" w:eastAsia="Aptos"/>
          <w:b w:val="0"/>
          <w:i w:val="0"/>
          <w:sz w:val="22"/>
        </w:rPr>
        <w:t>That creates selection bias: the model is no longer being tested on a genuinely untouched feature-selection pipeline, so accuracy and downstream biomarker claims may be overstated.</w:t>
      </w:r>
    </w:p>
    <w:p>
      <w:pPr>
        <w:pStyle w:val="Heading1"/>
        <w:spacing w:before="160" w:after="80"/>
      </w:pPr>
      <w:r>
        <w:rPr>
          <w:rFonts w:ascii="Aptos" w:hAnsi="Aptos" w:eastAsia="Aptos"/>
          <w:b/>
          <w:i w:val="0"/>
          <w:color w:val="1F4E79"/>
          <w:sz w:val="28"/>
        </w:rPr>
        <w:t>2. Code Changes Implemented</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160"/>
            <w:shd w:fill="DCE6F1"/>
            <w:vAlign w:val="center"/>
            <w:tcMar>
              <w:top w:w="80" w:type="dxa"/>
              <w:start w:w="110" w:type="dxa"/>
              <w:bottom w:w="80" w:type="dxa"/>
              <w:end w:w="110" w:type="dxa"/>
            </w:tcMar>
          </w:tcPr>
          <w:p>
            <w:pPr>
              <w:jc w:val="left"/>
            </w:pPr>
            <w:r>
              <w:rPr>
                <w:rFonts w:ascii="Aptos" w:hAnsi="Aptos" w:eastAsia="Aptos"/>
                <w:b/>
                <w:i w:val="0"/>
                <w:color w:val="1F4E79"/>
                <w:sz w:val="20"/>
              </w:rPr>
              <w:t>Area</w:t>
            </w:r>
          </w:p>
        </w:tc>
        <w:tc>
          <w:tcPr>
            <w:tcW w:type="dxa" w:w="5328"/>
            <w:shd w:fill="DCE6F1"/>
            <w:vAlign w:val="center"/>
            <w:tcMar>
              <w:top w:w="80" w:type="dxa"/>
              <w:start w:w="110" w:type="dxa"/>
              <w:bottom w:w="80" w:type="dxa"/>
              <w:end w:w="110" w:type="dxa"/>
            </w:tcMar>
          </w:tcPr>
          <w:p>
            <w:pPr>
              <w:jc w:val="left"/>
            </w:pPr>
            <w:r>
              <w:rPr>
                <w:rFonts w:ascii="Aptos" w:hAnsi="Aptos" w:eastAsia="Aptos"/>
                <w:b/>
                <w:i w:val="0"/>
                <w:color w:val="1F4E79"/>
                <w:sz w:val="20"/>
              </w:rPr>
              <w:t>What was changed</w:t>
            </w:r>
          </w:p>
        </w:tc>
        <w:tc>
          <w:tcPr>
            <w:tcW w:type="dxa" w:w="3456"/>
            <w:shd w:fill="DCE6F1"/>
            <w:vAlign w:val="center"/>
            <w:tcMar>
              <w:top w:w="80" w:type="dxa"/>
              <w:start w:w="110" w:type="dxa"/>
              <w:bottom w:w="80" w:type="dxa"/>
              <w:end w:w="110" w:type="dxa"/>
            </w:tcMar>
          </w:tcPr>
          <w:p>
            <w:pPr>
              <w:jc w:val="left"/>
            </w:pPr>
            <w:r>
              <w:rPr>
                <w:rFonts w:ascii="Aptos" w:hAnsi="Aptos" w:eastAsia="Aptos"/>
                <w:b/>
                <w:i w:val="0"/>
                <w:color w:val="1F4E79"/>
                <w:sz w:val="20"/>
              </w:rPr>
              <w:t>Why it matters</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Feature selection API</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get_top_features_from_SVM_RFE now returns fold-local metadata through RFESelection: selected feature indices, selected ROI pairs, and the training sample indices used for fitting.</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creates an auditable record showing the selector only saw outer-train subjects.</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Workflow configuration</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New dataclasses organize the corrected workflow: ReanalysisConfig, RFESelection, ExplanationRanking, FoldResult, and PipelineRunSummary.</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The corrected experiment is now structured, reproducible, and easier to report.</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Core training path</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train_and_eval_model now accepts raw 6,670-feature matrices plus ROI index lookup, performs outer stratified 5-fold CV, creates an inner train/validation split, runs fold-local SVM-RFE, and trains the SSAE only on the fold-reduced training data.</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is the central fix for the leakage issue.</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Artifact discipline</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The code now writes per-fold selected feature indices, per-fold ROI pairs, predictions, metrics, and optional model checkpoints, along with per-pipeline summary files.</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strengthens reproducibility and makes later review or rebuttal evidence concrete.</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Interpretation path</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Explanations are now computed fold by fold and aggregated across folds before ROI summaries are surfaced.</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Biomarker claims are no longer tied to a single leaked global feature set.</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Legacy safeguards</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Legacy global-feature loading is explicitly blocked in correction mode. The old ROAR pathway is also disabled pending a fold-corrected rerun.</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prevents accidental reuse of the invalid workflow.</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Permutation test hook</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A corrected CCS permutation-test path was added so the same fold-local pipeline can be rerun on shuffled labels 100 times or more.</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is the main additional safeguard for demonstrating the corrected model is doing better than chance.</w:t>
            </w:r>
          </w:p>
        </w:tc>
      </w:tr>
      <w:tr>
        <w:tc>
          <w:tcPr>
            <w:tcW w:type="dxa" w:w="3312"/>
            <w:vAlign w:val="center"/>
            <w:tcMar>
              <w:top w:w="80" w:type="dxa"/>
              <w:start w:w="110" w:type="dxa"/>
              <w:bottom w:w="80" w:type="dxa"/>
              <w:end w:w="110" w:type="dxa"/>
            </w:tcMar>
          </w:tcPr>
          <w:p>
            <w:pPr>
              <w:jc w:val="left"/>
            </w:pPr>
            <w:r>
              <w:rPr>
                <w:rFonts w:ascii="Aptos" w:hAnsi="Aptos" w:eastAsia="Aptos"/>
                <w:b w:val="0"/>
                <w:i w:val="0"/>
                <w:sz w:val="20"/>
              </w:rPr>
              <w:t>Test coverage</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A new synthetic regression suite checks fold-local fitting, identical fold feature application across train/validation/test, explanation aggregation, and legacy blocking.</w:t>
            </w:r>
          </w:p>
        </w:tc>
        <w:tc>
          <w:tcPr>
            <w:tcW w:type="dxa" w:w="3312"/>
            <w:vAlign w:val="center"/>
            <w:tcMar>
              <w:top w:w="80" w:type="dxa"/>
              <w:start w:w="110" w:type="dxa"/>
              <w:bottom w:w="80" w:type="dxa"/>
              <w:end w:w="110" w:type="dxa"/>
            </w:tcMar>
          </w:tcPr>
          <w:p>
            <w:pPr>
              <w:jc w:val="left"/>
            </w:pPr>
            <w:r>
              <w:rPr>
                <w:rFonts w:ascii="Aptos" w:hAnsi="Aptos" w:eastAsia="Aptos"/>
                <w:b w:val="0"/>
                <w:i w:val="0"/>
                <w:sz w:val="20"/>
              </w:rPr>
              <w:t>This gives engineering evidence that the leakage fix is enforced in code.</w:t>
            </w:r>
          </w:p>
        </w:tc>
      </w:tr>
    </w:tbl>
    <w:p/>
    <w:p>
      <w:pPr>
        <w:pStyle w:val="Heading1"/>
        <w:spacing w:before="160" w:after="80"/>
      </w:pPr>
      <w:r>
        <w:rPr>
          <w:rFonts w:ascii="Aptos" w:hAnsi="Aptos" w:eastAsia="Aptos"/>
          <w:b/>
          <w:i w:val="0"/>
          <w:color w:val="1F4E79"/>
          <w:sz w:val="28"/>
        </w:rPr>
        <w:t>3. Why the New Workflow Correctly Fixes the Leakage</w:t>
      </w:r>
    </w:p>
    <w:p>
      <w:pPr>
        <w:pStyle w:val="ListNumber"/>
        <w:spacing w:after="60"/>
      </w:pPr>
      <w:r>
        <w:rPr>
          <w:rFonts w:ascii="Aptos" w:hAnsi="Aptos" w:eastAsia="Aptos"/>
          <w:b w:val="0"/>
          <w:i w:val="0"/>
          <w:sz w:val="21"/>
        </w:rPr>
        <w:t>The full subject-level connectivity vector can still be computed once per subject because it is label-free and uses only that subject's own time series.</w:t>
      </w:r>
    </w:p>
    <w:p>
      <w:pPr>
        <w:pStyle w:val="ListNumber"/>
        <w:spacing w:after="60"/>
      </w:pPr>
      <w:r>
        <w:rPr>
          <w:rFonts w:ascii="Aptos" w:hAnsi="Aptos" w:eastAsia="Aptos"/>
          <w:b w:val="0"/>
          <w:i w:val="0"/>
          <w:sz w:val="21"/>
        </w:rPr>
        <w:t>The outer fold split is now performed before any supervised feature ranking occurs.</w:t>
      </w:r>
    </w:p>
    <w:p>
      <w:pPr>
        <w:pStyle w:val="ListNumber"/>
        <w:spacing w:after="60"/>
      </w:pPr>
      <w:r>
        <w:rPr>
          <w:rFonts w:ascii="Aptos" w:hAnsi="Aptos" w:eastAsia="Aptos"/>
          <w:b w:val="0"/>
          <w:i w:val="0"/>
          <w:sz w:val="21"/>
        </w:rPr>
        <w:t>Within each fold, SVM-RFE is fit only on the outer-train subjects.</w:t>
      </w:r>
    </w:p>
    <w:p>
      <w:pPr>
        <w:pStyle w:val="ListNumber"/>
        <w:spacing w:after="60"/>
      </w:pPr>
      <w:r>
        <w:rPr>
          <w:rFonts w:ascii="Aptos" w:hAnsi="Aptos" w:eastAsia="Aptos"/>
          <w:b w:val="0"/>
          <w:i w:val="0"/>
          <w:sz w:val="21"/>
        </w:rPr>
        <w:t>The resulting feature indices are then applied consistently to that fold's train, validation, and test matrices.</w:t>
      </w:r>
    </w:p>
    <w:p>
      <w:pPr>
        <w:pStyle w:val="ListNumber"/>
        <w:spacing w:after="60"/>
      </w:pPr>
      <w:r>
        <w:rPr>
          <w:rFonts w:ascii="Aptos" w:hAnsi="Aptos" w:eastAsia="Aptos"/>
          <w:b w:val="0"/>
          <w:i w:val="0"/>
          <w:sz w:val="21"/>
        </w:rPr>
        <w:t>The test fold is touched only once, at final evaluation time, after fold-local feature selection and model training are complete.</w:t>
      </w:r>
    </w:p>
    <w:p>
      <w:pPr>
        <w:pStyle w:val="ListNumber"/>
        <w:spacing w:after="60"/>
      </w:pPr>
      <w:r>
        <w:rPr>
          <w:rFonts w:ascii="Aptos" w:hAnsi="Aptos" w:eastAsia="Aptos"/>
          <w:b w:val="0"/>
          <w:i w:val="0"/>
          <w:sz w:val="21"/>
        </w:rPr>
        <w:t>Fold metrics are summarized as mean and standard deviation across folds, matching the required reporting style for a corrected cross-validated experiment.</w:t>
      </w:r>
    </w:p>
    <w:p>
      <w:pPr>
        <w:pStyle w:val="Heading1"/>
        <w:spacing w:before="160" w:after="80"/>
      </w:pPr>
      <w:r>
        <w:rPr>
          <w:rFonts w:ascii="Aptos" w:hAnsi="Aptos" w:eastAsia="Aptos"/>
          <w:b/>
          <w:i w:val="0"/>
          <w:color w:val="1F4E79"/>
          <w:sz w:val="28"/>
        </w:rPr>
        <w:t>4. How the Update Reinforces the Research Beyond the Basic Fix</w:t>
      </w:r>
    </w:p>
    <w:p>
      <w:pPr>
        <w:pStyle w:val="ListBullet"/>
        <w:spacing w:after="60"/>
      </w:pPr>
      <w:r>
        <w:rPr>
          <w:rFonts w:ascii="Aptos" w:hAnsi="Aptos" w:eastAsia="Aptos"/>
          <w:b w:val="0"/>
          <w:i w:val="0"/>
          <w:sz w:val="21"/>
        </w:rPr>
        <w:t>Per-fold artifacts now provide an evidence trail that can support a rebuttal, correction note, or methods appendix.</w:t>
      </w:r>
    </w:p>
    <w:p>
      <w:pPr>
        <w:pStyle w:val="ListBullet"/>
        <w:spacing w:after="60"/>
      </w:pPr>
      <w:r>
        <w:rPr>
          <w:rFonts w:ascii="Aptos" w:hAnsi="Aptos" w:eastAsia="Aptos"/>
          <w:b w:val="0"/>
          <w:i w:val="0"/>
          <w:sz w:val="21"/>
        </w:rPr>
        <w:t>Interpretability is aggregated across folds, which is more defensible than relying on a single globally selected feature map.</w:t>
      </w:r>
    </w:p>
    <w:p>
      <w:pPr>
        <w:pStyle w:val="ListBullet"/>
        <w:spacing w:after="60"/>
      </w:pPr>
      <w:r>
        <w:rPr>
          <w:rFonts w:ascii="Aptos" w:hAnsi="Aptos" w:eastAsia="Aptos"/>
          <w:b w:val="0"/>
          <w:i w:val="0"/>
          <w:sz w:val="21"/>
        </w:rPr>
        <w:t>The corrected permutation-test path provides an empirical chance baseline for accuracy and F1, which directly strengthens the anti-leakage argument.</w:t>
      </w:r>
    </w:p>
    <w:p>
      <w:pPr>
        <w:pStyle w:val="ListBullet"/>
        <w:spacing w:after="60"/>
      </w:pPr>
      <w:r>
        <w:rPr>
          <w:rFonts w:ascii="Aptos" w:hAnsi="Aptos" w:eastAsia="Aptos"/>
          <w:b w:val="0"/>
          <w:i w:val="0"/>
          <w:sz w:val="21"/>
        </w:rPr>
        <w:t>The code now clearly distinguishes valid corrected artifacts from invalid legacy global-feature CSVs.</w:t>
      </w:r>
    </w:p>
    <w:p>
      <w:pPr>
        <w:pStyle w:val="ListBullet"/>
        <w:spacing w:after="60"/>
      </w:pPr>
      <w:r>
        <w:rPr>
          <w:rFonts w:ascii="Aptos" w:hAnsi="Aptos" w:eastAsia="Aptos"/>
          <w:b w:val="0"/>
          <w:i w:val="0"/>
          <w:sz w:val="21"/>
        </w:rPr>
        <w:t>The CLI is prepared to rerun all four pipelines (CCS, CPAC, DPARSF, NIAK) once the raw ROI time-series are restored.</w:t>
      </w:r>
    </w:p>
    <w:p>
      <w:pPr>
        <w:pStyle w:val="Heading1"/>
        <w:spacing w:before="160" w:after="80"/>
      </w:pPr>
      <w:r>
        <w:rPr>
          <w:rFonts w:ascii="Aptos" w:hAnsi="Aptos" w:eastAsia="Aptos"/>
          <w:b/>
          <w:i w:val="0"/>
          <w:color w:val="1F4E79"/>
          <w:sz w:val="28"/>
        </w:rPr>
        <w:t>5. Verification Already Completed</w:t>
      </w:r>
    </w:p>
    <w:p>
      <w:pPr>
        <w:pStyle w:val="ListBullet"/>
        <w:spacing w:after="60"/>
      </w:pPr>
      <w:r>
        <w:rPr>
          <w:rFonts w:ascii="Aptos" w:hAnsi="Aptos" w:eastAsia="Aptos"/>
          <w:b w:val="0"/>
          <w:i w:val="0"/>
          <w:sz w:val="21"/>
        </w:rPr>
        <w:t>The updated Python sources compile successfully.</w:t>
      </w:r>
    </w:p>
    <w:p>
      <w:pPr>
        <w:pStyle w:val="ListBullet"/>
        <w:spacing w:after="60"/>
      </w:pPr>
      <w:r>
        <w:rPr>
          <w:rFonts w:ascii="Aptos" w:hAnsi="Aptos" w:eastAsia="Aptos"/>
          <w:b w:val="0"/>
          <w:i w:val="0"/>
          <w:sz w:val="21"/>
        </w:rPr>
        <w:t>A targeted synthetic test suite passes for the corrected workflow.</w:t>
      </w:r>
    </w:p>
    <w:p>
      <w:pPr>
        <w:pStyle w:val="ListBullet"/>
        <w:spacing w:after="60"/>
      </w:pPr>
      <w:r>
        <w:rPr>
          <w:rFonts w:ascii="Aptos" w:hAnsi="Aptos" w:eastAsia="Aptos"/>
          <w:b w:val="0"/>
          <w:i w:val="0"/>
          <w:sz w:val="21"/>
        </w:rPr>
        <w:t>The new tests verify that selected features are learned from outer-train samples only and that fold-specific selections are reused consistently within each fold.</w:t>
      </w:r>
    </w:p>
    <w:p>
      <w:pPr>
        <w:spacing w:after="120"/>
      </w:pPr>
      <w:r>
        <w:rPr>
          <w:rFonts w:ascii="Aptos" w:hAnsi="Aptos" w:eastAsia="Aptos"/>
          <w:b w:val="0"/>
          <w:i w:val="0"/>
          <w:sz w:val="22"/>
        </w:rPr>
        <w:t>Validation command used during implementation: python -m unittest discover -s tests -p "test_*.py" -v</w:t>
      </w:r>
    </w:p>
    <w:p>
      <w:pPr>
        <w:pStyle w:val="Heading1"/>
        <w:spacing w:before="160" w:after="80"/>
      </w:pPr>
      <w:r>
        <w:rPr>
          <w:rFonts w:ascii="Aptos" w:hAnsi="Aptos" w:eastAsia="Aptos"/>
          <w:b/>
          <w:i w:val="0"/>
          <w:color w:val="1F4E79"/>
          <w:sz w:val="28"/>
        </w:rPr>
        <w:t>6. Remaining Scientific Execution Steps</w:t>
      </w:r>
    </w:p>
    <w:p>
      <w:pPr>
        <w:pStyle w:val="ListBullet"/>
        <w:spacing w:after="60"/>
      </w:pPr>
      <w:r>
        <w:rPr>
          <w:rFonts w:ascii="Aptos" w:hAnsi="Aptos" w:eastAsia="Aptos"/>
          <w:b w:val="0"/>
          <w:i w:val="0"/>
          <w:sz w:val="21"/>
        </w:rPr>
        <w:t>Restore the raw ROI time-series files for all four ABIDE preprocessing pipelines under abide/downloads/Outputs/... because the corrected workflow intentionally refuses the old leaked CSV shortcuts.</w:t>
      </w:r>
    </w:p>
    <w:p>
      <w:pPr>
        <w:pStyle w:val="ListBullet"/>
        <w:spacing w:after="60"/>
      </w:pPr>
      <w:r>
        <w:rPr>
          <w:rFonts w:ascii="Aptos" w:hAnsi="Aptos" w:eastAsia="Aptos"/>
          <w:b w:val="0"/>
          <w:i w:val="0"/>
          <w:sz w:val="21"/>
        </w:rPr>
        <w:t>Run the corrected four-pipeline reanalysis and capture fold-wise accuracy, sensitivity, specificity, precision, and F1 as mean +/- standard deviation.</w:t>
      </w:r>
    </w:p>
    <w:p>
      <w:pPr>
        <w:pStyle w:val="ListBullet"/>
        <w:spacing w:after="60"/>
      </w:pPr>
      <w:r>
        <w:rPr>
          <w:rFonts w:ascii="Aptos" w:hAnsi="Aptos" w:eastAsia="Aptos"/>
          <w:b w:val="0"/>
          <w:i w:val="0"/>
          <w:sz w:val="21"/>
        </w:rPr>
        <w:t>Run the corrected CCS permutation test with 100 or more shuffles and report empirical p-values.</w:t>
      </w:r>
    </w:p>
    <w:p>
      <w:pPr>
        <w:pStyle w:val="ListBullet"/>
        <w:spacing w:after="60"/>
      </w:pPr>
      <w:r>
        <w:rPr>
          <w:rFonts w:ascii="Aptos" w:hAnsi="Aptos" w:eastAsia="Aptos"/>
          <w:b w:val="0"/>
          <w:i w:val="0"/>
          <w:sz w:val="21"/>
        </w:rPr>
        <w:t>Regenerate ROI and connection summaries from the corrected fold-aggregated interpretation outputs before updating any biomarker narrative in the manuscript.</w:t>
      </w:r>
    </w:p>
    <w:p>
      <w:pPr>
        <w:pStyle w:val="ListBullet"/>
        <w:spacing w:after="60"/>
      </w:pPr>
      <w:r>
        <w:rPr>
          <w:rFonts w:ascii="Aptos" w:hAnsi="Aptos" w:eastAsia="Aptos"/>
          <w:b w:val="0"/>
          <w:i w:val="0"/>
          <w:sz w:val="21"/>
        </w:rPr>
        <w:t>If ROAR is still needed, rerun it later from corrected fold-specific artifacts rather than from the legacy single-model pathway.</w:t>
      </w:r>
    </w:p>
    <w:p>
      <w:pPr>
        <w:pStyle w:val="Heading1"/>
        <w:spacing w:before="160" w:after="80"/>
      </w:pPr>
      <w:r>
        <w:rPr>
          <w:rFonts w:ascii="Aptos" w:hAnsi="Aptos" w:eastAsia="Aptos"/>
          <w:b/>
          <w:i w:val="0"/>
          <w:color w:val="1F4E79"/>
          <w:sz w:val="28"/>
        </w:rPr>
        <w:t>7. Present Operational Limitation</w:t>
      </w:r>
    </w:p>
    <w:p>
      <w:pPr>
        <w:spacing w:after="120"/>
      </w:pPr>
      <w:r>
        <w:rPr>
          <w:rFonts w:ascii="Aptos" w:hAnsi="Aptos" w:eastAsia="Aptos"/>
          <w:b w:val="0"/>
          <w:i w:val="0"/>
          <w:sz w:val="22"/>
        </w:rPr>
        <w:t>The full scientific rerun has not yet been executed from this workspace because the repository currently lacks the raw ABIDE ROI time-series inputs needed by the corrected pipeline. The implementation is ready, but the real-data rerun must be performed after those inputs are restored.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787878"/>
        <w:sz w:val="16"/>
      </w:rPr>
      <w:t>Technical rectification note | XAI-for-ASD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