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Strategy Section</w:t>
      </w:r>
    </w:p>
    <w:p>
      <w:pPr>
        <w:pStyle w:val="Heading2"/>
      </w:pPr>
      <w:r>
        <w:t xml:space="preserve">Mapping Education Risk in Northeastern Nigeria: A Conflict-Sensitive Planning Tool for EBI</w:t>
      </w:r>
    </w:p>
    <w:p>
      <w:pPr>
        <w:pStyle w:val="Heading2"/>
      </w:pPr>
      <w:r>
        <w:t xml:space="preserve">Context</w:t>
      </w:r>
    </w:p>
    <w:p>
      <w:pPr>
        <w:spacing w:after="160"/>
      </w:pPr>
      <w:r>
        <w:t xml:space="preserve">Northeastern Nigeria has experienced over fifteen years of sustained armed conflict driven by the Boko Haram insurgency and its offshoots. Borno, Yobe, and Adamawa states — the three states at the epicentre of this crisis — have recorded some of the highest rates of school destruction, teacher displacement, and education disruption anywhere in Sub-Saharan Africa. Millions of children in this region have had their education interrupted, not once, but repeatedly, as conflict dynamics shift across local government areas (LGAs).</w:t>
      </w:r>
    </w:p>
    <w:p>
      <w:pPr>
        <w:spacing w:after="160"/>
      </w:pPr>
      <w:r>
        <w:t xml:space="preserve">EBI’s field teams operating in this context possess deep knowledge of the schools they support and the communities around them. That knowledge is invaluable. But as the RFP acknowledges, when conflict escalates or a new crisis erupts, assembling a clear picture of how education infrastructure is affected across the region is difficult to do quickly. Decisions about where to prioritise rehabilitation, where to pre-position learning materials, and where children are most at risk of losing access to education are currently made on the basis of information that arrives unevenly and is difficult to compare across areas.</w:t>
      </w:r>
    </w:p>
    <w:p>
      <w:pPr>
        <w:spacing w:after="160"/>
      </w:pPr>
      <w:r>
        <w:t xml:space="preserve">What is missing is not more field knowledge — EBI’s teams already have that. What is missing is a tool that makes that knowledge visible at scale, combining it with open data sources to produce a clear, shareable picture of where the greatest concentrations of at-risk children are located relative to active conflict.</w:t>
      </w:r>
    </w:p>
    <w:p>
      <w:pPr>
        <w:pStyle w:val="Heading2"/>
      </w:pPr>
      <w:r>
        <w:t xml:space="preserve">Objectives</w:t>
      </w:r>
    </w:p>
    <w:p>
      <w:pPr>
        <w:spacing w:after="80"/>
      </w:pPr>
      <w:r>
        <w:t xml:space="preserve">This project has three objectives:</w:t>
      </w:r>
    </w:p>
    <w:p>
      <w:pPr>
        <w:pStyle w:val="ListParagraph"/>
        <w:numPr>
          <w:ilvl w:val="0"/>
          <w:numId w:val="2"/>
        </w:numPr>
        <w:spacing w:after="100"/>
      </w:pPr>
      <w:r>
        <w:rPr>
          <w:b/>
          <w:bCs/>
        </w:rPr>
        <w:t xml:space="preserve">Reveal the geography of education risk. </w:t>
      </w:r>
      <w:r>
        <w:t xml:space="preserve">By overlaying conflict event data, school locations, and school-age population estimates for Borno, Yobe, and Adamawa, the project will identify which local government areas contain the largest concentrations of school-age children in proximity to active or recent conflict, and where schools are absent or inaccessible relative to population need.</w:t>
      </w:r>
    </w:p>
    <w:p>
      <w:pPr>
        <w:pStyle w:val="ListParagraph"/>
        <w:numPr>
          <w:ilvl w:val="0"/>
          <w:numId w:val="2"/>
        </w:numPr>
        <w:spacing w:after="100"/>
      </w:pPr>
      <w:r>
        <w:rPr>
          <w:b/>
          <w:bCs/>
        </w:rPr>
        <w:t xml:space="preserve">Give EBI staff a usable planning tool. </w:t>
      </w:r>
      <w:r>
        <w:t xml:space="preserve">The primary output is an interactive map that any EBI programme officer can open in a browser without technical training. The map translates complex multi-source data into a single, readable visual that supports prioritisation decisions.</w:t>
      </w:r>
    </w:p>
    <w:p>
      <w:pPr>
        <w:pStyle w:val="ListParagraph"/>
        <w:numPr>
          <w:ilvl w:val="0"/>
          <w:numId w:val="2"/>
        </w:numPr>
        <w:spacing w:after="160"/>
      </w:pPr>
      <w:r>
        <w:rPr>
          <w:b/>
          <w:bCs/>
        </w:rPr>
        <w:t xml:space="preserve">Document a replicable methodology. </w:t>
      </w:r>
      <w:r>
        <w:t xml:space="preserve">Because EBI operates across 12 country contexts, the project will document the data sources, cleaning steps, and analytical logic clearly enough that the same approach can be applied to a new country with minimal additional effort.</w:t>
      </w:r>
    </w:p>
    <w:p>
      <w:pPr>
        <w:pStyle w:val="Heading2"/>
      </w:pPr>
      <w:r>
        <w:t xml:space="preserve">Approach</w:t>
      </w:r>
    </w:p>
    <w:p>
      <w:pPr>
        <w:spacing w:after="160"/>
      </w:pPr>
      <w:r>
        <w:t xml:space="preserve">The core argument of this proposal is straightforward: mapping conflict events against school locations and population distribution in northeastern Nigeria reveals where large concentrations of school-age children are left without safe access to education. This is information EBI’s field teams know in fragments but cannot currently see all at once, across the full three-state area, in a form that can be shared with headquarters or used to justify prioritisation decisions to donors.</w:t>
      </w:r>
    </w:p>
    <w:p>
      <w:pPr>
        <w:spacing w:after="160"/>
      </w:pPr>
      <w:r>
        <w:t xml:space="preserve">The approach builds on EBI’s own preliminary exercise — mapping school locations against population estimates in one country programme — and extends it by adding the conflict dimension that is central to EBI’s operating context.</w:t>
      </w:r>
    </w:p>
    <w:p>
      <w:pPr>
        <w:spacing w:after="100"/>
      </w:pPr>
      <w:r>
        <w:t xml:space="preserve">Three open, publicly available datasets form the foundation:</w:t>
      </w:r>
    </w:p>
    <w:p>
      <w:pPr>
        <w:spacing w:after="100"/>
      </w:pPr>
      <w:r>
        <w:rPr>
          <w:b/>
          <w:bCs/>
        </w:rPr>
        <w:t xml:space="preserve">Conflict events — ACLED (Armed Conflict Location &amp; Event Data). </w:t>
      </w:r>
      <w:r>
        <w:t xml:space="preserve">ACLED provides georeferenced records of conflict events in Nigeria going back to 2009, updated weekly. Each record includes coordinates, date, event type, and fatality estimates. For this project, events will be filtered to Borno, Yobe, and Adamawa, focusing on the most recent 24 months. This window is chosen deliberately: it is long enough to capture recurring patterns and seasonal conflict cycles, while recent enough to reflect current dynamics rather than the peak insurgency years of 2014–2016, which would skew the picture toward areas that have since stabilised. A sensitivity check comparing 12-month and 36-month windows will be included in the methodology note to show how the risk picture changes with time frame. ACLED is free to access at acleddata.com with a simple registration.</w:t>
      </w:r>
    </w:p>
    <w:p>
      <w:pPr>
        <w:spacing w:after="100"/>
      </w:pPr>
      <w:r>
        <w:rPr>
          <w:b/>
          <w:bCs/>
        </w:rPr>
        <w:t xml:space="preserve">School locations — GRID3 Nigeria / Humanitarian Data Exchange (HDX). </w:t>
      </w:r>
      <w:r>
        <w:t xml:space="preserve">The GRID3 Nigeria education dataset provides georeferenced locations of schools across Nigeria, including school type, operational status, and LGA. This dataset is available for free download from HDX (data.humdata.org) and has been validated through satellite imagery and ground-truthing exercises. It is the most reliable open school location dataset available for Nigeria. Records will be deduplicated by coordinate pair and name, and schools with missing or implausible geolocations will be excluded and flagged in the data dictionary.</w:t>
      </w:r>
    </w:p>
    <w:p>
      <w:pPr>
        <w:spacing w:after="160"/>
      </w:pPr>
      <w:r>
        <w:rPr>
          <w:b/>
          <w:bCs/>
        </w:rPr>
        <w:t xml:space="preserve">School-age population — WorldPop. </w:t>
      </w:r>
      <w:r>
        <w:t xml:space="preserve">WorldPop provides gridded population estimates at 100-metre resolution for Nigeria, disaggregated by age group. The 5–14 age band is used as the primary layer, as it best approximates the primary school-age population that EBI’s programming most directly targets. Where EBI’s programme definition includes secondary-age adolescents, the band can be extended to 5–17 without changing the underlying methodology; both extractions will be documented in the repository. This data is freely available at worldpop.org and requires no registration.</w:t>
      </w:r>
    </w:p>
    <w:p>
      <w:pPr>
        <w:spacing w:after="160"/>
      </w:pPr>
      <w:r>
        <w:t xml:space="preserve">These three datasets will be combined through a spatial analysis that produces, for each LGA in the three target states, a composite risk score. The score is calculated from three equally weighted components: conflict event density (number of ACLED events per 100km² in the past 24 months), school deficit ratio (school-age population divided by number of operational schools), and conflict proximity (share of schools within 10km of at least one recorded conflict event). Equal weighting is the starting assumption; the methodology note will document how the ranking changes under alternative weightings that prioritise conflict intensity or population vulnerability, so EBI can adjust the formula to match their programme priorities. The result is a risk profile for each LGA that surfaces where the combination of high child population, low school density, and high conflict activity creates the greatest education access risk.</w:t>
      </w:r>
    </w:p>
    <w:p>
      <w:pPr>
        <w:spacing w:after="160"/>
      </w:pPr>
      <w:r>
        <w:t xml:space="preserve">The interactive map translates this analysis into a visual that field staff and headquarters can use together. It does not replace field knowledge — it gives that knowledge a geographic frame that makes it actionable at scale.</w:t>
      </w:r>
    </w:p>
    <w:p>
      <w:pPr>
        <w:pStyle w:val="Heading2"/>
      </w:pPr>
      <w:r>
        <w:t xml:space="preserve">Proposed Activities</w:t>
      </w:r>
    </w:p>
    <w:p>
      <w:pPr>
        <w:spacing w:after="100"/>
      </w:pPr>
      <w:r>
        <w:rPr>
          <w:b/>
          <w:bCs/>
        </w:rPr>
        <w:t xml:space="preserve">Activity 1 — Data sourcing and preparation. </w:t>
      </w:r>
      <w:r>
        <w:t xml:space="preserve">Download and clean the three datasets for Borno, Yobe, and Adamawa. This includes filtering ACLED to the relevant time period and geography, deduplicating school location records and excluding those with missing or implausible coordinates, and extracting the 5–14 age group population estimates from WorldPop rasters. All raw and cleaned data, along with a data dictionary describing each field and any exclusion decisions, will be stored in the project’s public GitHub repository under open licences consistent with each source’s terms of use.</w:t>
      </w:r>
    </w:p>
    <w:p>
      <w:pPr>
        <w:spacing w:after="100"/>
      </w:pPr>
      <w:r>
        <w:rPr>
          <w:b/>
          <w:bCs/>
        </w:rPr>
        <w:t xml:space="preserve">Activity 2 — Spatial analysis. </w:t>
      </w:r>
      <w:r>
        <w:t xml:space="preserve">Conduct the core analysis: calculate conflict event density per LGA, compute school deficit ratios relative to school-age population, and identify schools within conflict proximity thresholds. Generate the composite risk score and rank LGAs by risk level, producing a clear prioritisation list that complements field assessments.</w:t>
      </w:r>
    </w:p>
    <w:p>
      <w:pPr>
        <w:spacing w:after="100"/>
      </w:pPr>
      <w:r>
        <w:rPr>
          <w:b/>
          <w:bCs/>
        </w:rPr>
        <w:t xml:space="preserve">Activity 3 — Interactive map development. </w:t>
      </w:r>
      <w:r>
        <w:t xml:space="preserve">Build an interactive HTML map using Leaflet.js. The map will show school locations as point markers, conflict events as a heatmap or density layer, and LGA boundaries shaded by composite risk score. Users will be able to click on individual schools or LGAs to see underlying data. The map will be published on GitHub Pages and accessible via a public URL.</w:t>
      </w:r>
    </w:p>
    <w:p>
      <w:pPr>
        <w:spacing w:after="160"/>
      </w:pPr>
      <w:r>
        <w:rPr>
          <w:b/>
          <w:bCs/>
        </w:rPr>
        <w:t xml:space="preserve">Activity 4 — Methodology documentation. </w:t>
      </w:r>
      <w:r>
        <w:t xml:space="preserve">Write a concise methodology note explaining the data sources, cleaning decisions, the composite risk formula and its alternative weightings, and the steps required to replicate the analysis in a new country context. All analysis scripts will be commented and included in the repository alongside a README. This note will be included in the GitHub repository alongside the data and code.</w:t>
      </w:r>
    </w:p>
    <w:p>
      <w:pPr>
        <w:pStyle w:val="Heading2"/>
      </w:pPr>
      <w:r>
        <w:t xml:space="preserve">Deliverables</w:t>
      </w:r>
    </w:p>
    <w:p>
      <w:pPr>
        <w:pStyle w:val="ListParagraph"/>
        <w:numPr>
          <w:ilvl w:val="0"/>
          <w:numId w:val="2"/>
        </w:numPr>
        <w:spacing w:after="100"/>
      </w:pPr>
      <w:r>
        <w:rPr>
          <w:b/>
          <w:bCs/>
        </w:rPr>
        <w:t xml:space="preserve">An interactive map </w:t>
      </w:r>
      <w:r>
        <w:t xml:space="preserve">published on GitHub Pages, showing conflict events, school locations, and school-age population distribution across Borno, Yobe, and Adamawa, with LGAs colour-coded by education risk level. This is the primary artifact EBI staff will use for planning and prioritisation.</w:t>
      </w:r>
    </w:p>
    <w:p>
      <w:pPr>
        <w:pStyle w:val="ListParagraph"/>
        <w:numPr>
          <w:ilvl w:val="0"/>
          <w:numId w:val="2"/>
        </w:numPr>
        <w:spacing w:after="100"/>
      </w:pPr>
      <w:r>
        <w:rPr>
          <w:b/>
          <w:bCs/>
        </w:rPr>
        <w:t xml:space="preserve">A cleaned, documented dataset </w:t>
      </w:r>
      <w:r>
        <w:t xml:space="preserve">available in the project’s public GitHub repository, including the processed ACLED, GRID3, and WorldPop data used to produce the map, with a data dictionary explaining each field, exclusion decisions, and the licence terms of each source.</w:t>
      </w:r>
    </w:p>
    <w:p>
      <w:pPr>
        <w:pStyle w:val="ListParagraph"/>
        <w:numPr>
          <w:ilvl w:val="0"/>
          <w:numId w:val="2"/>
        </w:numPr>
        <w:spacing w:after="160"/>
      </w:pPr>
      <w:r>
        <w:rPr>
          <w:b/>
          <w:bCs/>
        </w:rPr>
        <w:t xml:space="preserve">A methodology note </w:t>
      </w:r>
      <w:r>
        <w:t xml:space="preserve">explaining how the analysis was conducted, how the composite risk score was calculated and how its weightings can be adjusted, and how the full approach can be replicated in a different country context using the same or equivalent open data sources.</w:t>
      </w:r>
    </w:p>
    <w:p>
      <w:pPr>
        <w:spacing w:after="160"/>
      </w:pPr>
      <w:r>
        <w:t xml:space="preserve">This strategy does not attempt to solve every challenge EBI faces across its 12 country programmes. It picks one specific, demonstrable capability — seeing where children are most at risk relative to conflict and school access — and builds a tool around it that EBI staff can open, understand, and use the day the project ends. That is the capability EBI’s RFP describes needing. This proposal delivers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2026-04-21T19:59:26.385Z</dcterms:created>
  <dcterms:modified xsi:type="dcterms:W3CDTF">2026-04-21T19:59:26.386Z</dcterms:modified>
</cp:coreProperties>
</file>

<file path=docProps/custom.xml><?xml version="1.0" encoding="utf-8"?>
<Properties xmlns="http://schemas.openxmlformats.org/officeDocument/2006/custom-properties" xmlns:vt="http://schemas.openxmlformats.org/officeDocument/2006/docPropsVTypes"/>
</file>