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Strategy Section</w:t>
      </w:r>
    </w:p>
    <w:p>
      <w:pPr>
        <w:pStyle w:val="Heading2"/>
      </w:pPr>
      <w:r>
        <w:t xml:space="preserve">Mapping Education Risk in Northeastern Nigeria: A Conflict-Sensitive Planning Tool for EBI</w:t>
      </w:r>
    </w:p>
    <w:p>
      <w:pPr>
        <w:spacing w:after="240"/>
      </w:pPr>
      <w:r>
        <w:rPr>
          <w:color w:val="666666"/>
        </w:rPr>
        <w:t xml:space="preserve">Strategic Education Risk Assessment — Borno, Yobe, and Adamawa States (2024)</w:t>
      </w:r>
    </w:p>
    <w:p>
      <w:pPr>
        <w:pStyle w:val="Heading2"/>
      </w:pPr>
      <w:r>
        <w:t xml:space="preserve">Context</w:t>
      </w:r>
    </w:p>
    <w:p>
      <w:pPr>
        <w:spacing w:after="160"/>
      </w:pPr>
      <w:r>
        <w:t xml:space="preserve">Northeastern Nigeria has experienced over fifteen years of sustained armed conflict driven by the Boko Haram insurgency and its offshoots. Borno, Yobe, and Adamawa states — the three states at the epicentre of this crisis — have recorded some of the highest rates of school destruction, teacher displacement, and education disruption anywhere in Sub-Saharan Africa. Millions of children in this region have had their education interrupted, not once, but repeatedly, as conflict dynamics shift across local government areas (LGAs).</w:t>
      </w:r>
    </w:p>
    <w:p>
      <w:pPr>
        <w:spacing w:after="160"/>
      </w:pPr>
      <w:r>
        <w:t xml:space="preserve">EBI’s field teams operating in this context possess deep knowledge of the schools they support and the communities around them. That knowledge is invaluable. But as the RFP acknowledges, when conflict escalates or a new crisis erupts, assembling a clear picture of how education infrastructure is affected across the region is difficult to do quickly. Decisions about where to prioritise rehabilitation, where to pre-position learning materials, and where children are most at risk of losing access to education are currently made on the basis of information that arrives unevenly and is difficult to compare across areas.</w:t>
      </w:r>
    </w:p>
    <w:p>
      <w:pPr>
        <w:spacing w:after="160"/>
      </w:pPr>
      <w:r>
        <w:t xml:space="preserve">What is missing is not more field knowledge — EBI’s teams already have that. What is missing is a tool that makes that knowledge visible at scale, combining it with open data sources to produce a clear, shareable picture of where the greatest concentrations of at-risk children are located relative to active conflict.</w:t>
      </w:r>
    </w:p>
    <w:p>
      <w:pPr>
        <w:pStyle w:val="Heading2"/>
      </w:pPr>
      <w:r>
        <w:t xml:space="preserve">Objectives</w:t>
      </w:r>
    </w:p>
    <w:p>
      <w:pPr>
        <w:spacing w:after="80"/>
      </w:pPr>
      <w:r>
        <w:t xml:space="preserve">This project has three objectives:</w:t>
      </w:r>
    </w:p>
    <w:p>
      <w:pPr>
        <w:pStyle w:val="ListParagraph"/>
        <w:numPr>
          <w:ilvl w:val="0"/>
          <w:numId w:val="2"/>
        </w:numPr>
        <w:spacing w:after="100"/>
      </w:pPr>
      <w:r>
        <w:rPr>
          <w:b/>
          <w:bCs/>
        </w:rPr>
        <w:t xml:space="preserve">Reveal the geography of education risk. </w:t>
      </w:r>
      <w:r>
        <w:t xml:space="preserve">By overlaying conflict event data, verified school locations, and school-age population estimates for Borno, Yobe, and Adamawa, the project identifies which local government areas contain the largest concentrations of school-age children in proximity to active or recent conflict, and where schools are absent or inaccessible relative to population need.</w:t>
      </w:r>
    </w:p>
    <w:p>
      <w:pPr>
        <w:pStyle w:val="ListParagraph"/>
        <w:numPr>
          <w:ilvl w:val="0"/>
          <w:numId w:val="2"/>
        </w:numPr>
        <w:spacing w:after="100"/>
      </w:pPr>
      <w:r>
        <w:rPr>
          <w:b/>
          <w:bCs/>
        </w:rPr>
        <w:t xml:space="preserve">Give EBI staff a usable planning tool. </w:t>
      </w:r>
      <w:r>
        <w:t xml:space="preserve">The primary output is an interactive map that any EBI programme officer can open in a browser without technical training. The map translates complex multi-source data into a single, readable visual that supports prioritisation decisions.</w:t>
      </w:r>
    </w:p>
    <w:p>
      <w:pPr>
        <w:pStyle w:val="ListParagraph"/>
        <w:numPr>
          <w:ilvl w:val="0"/>
          <w:numId w:val="2"/>
        </w:numPr>
        <w:spacing w:after="100"/>
      </w:pPr>
      <w:r>
        <w:rPr>
          <w:b/>
          <w:bCs/>
        </w:rPr>
        <w:t xml:space="preserve">Document a replicable methodology. </w:t>
      </w:r>
      <w:r>
        <w:t xml:space="preserve">Because EBI operates across 12 country contexts, the project documents the data sources, cleaning steps, and analytical logic clearly enough that the same approach can be applied to a new country with minimal additional effort.</w:t>
      </w:r>
    </w:p>
    <w:p>
      <w:pPr>
        <w:spacing w:after="80"/>
      </w:pPr>
      <w:r>
        <w:t xml:space="preserve"/>
      </w:r>
    </w:p>
    <w:p>
      <w:pPr>
        <w:pStyle w:val="Heading2"/>
      </w:pPr>
      <w:r>
        <w:t xml:space="preserve">Approach</w:t>
      </w:r>
    </w:p>
    <w:p>
      <w:pPr>
        <w:spacing w:after="160"/>
      </w:pPr>
      <w:r>
        <w:t xml:space="preserve">The core argument of this proposal is straightforward: mapping conflict events against school locations and population distribution in northeastern Nigeria reveals where large concentrations of school-age children are left without safe access to education. This is information EBI’s field teams know in fragments but cannot currently see all at once, across the full three-state area, in a form that can be shared with headquarters or used to justify prioritisation decisions to donors.</w:t>
      </w:r>
    </w:p>
    <w:p>
      <w:pPr>
        <w:spacing w:after="160"/>
      </w:pPr>
      <w:r>
        <w:t xml:space="preserve">The approach builds on EBI’s own preliminary exercise — mapping school locations against population estimates in one country programme — and extends it by adding the conflict dimension that is central to EBI’s operating context. Three open, publicly available datasets form the foundation:</w:t>
      </w:r>
    </w:p>
    <w:p>
      <w:pPr>
        <w:spacing w:after="160"/>
      </w:pPr>
      <w:r>
        <w:rPr>
          <w:b/>
          <w:bCs/>
        </w:rPr>
        <w:t xml:space="preserve">Conflict events — UCDP (Uppsala Conflict Data Program). </w:t>
      </w:r>
      <w:r>
        <w:t xml:space="preserve">UCDP was selected over ACLED because it provides a complete, event-level CSV dataset for Nigeria via HDX without requiring registration, keeping the project fully open-source and reproducible without access barriers. Events were filtered to Borno, Yobe, and Adamawa over a 24-month window — long enough to capture recurring conflict patterns and seasonal cycles, while recent enough to reflect current dynamics rather than the peak insurgency years of 2014–2016. The final dataset contains 265 conflict events recording 2,071 total fatalities, including 40 one-sided attacks directly targeting civilians — confirming that communities face deliberate targeting, not only incidental exposure to conflict.</w:t>
      </w:r>
    </w:p>
    <w:p>
      <w:pPr>
        <w:spacing w:after="80"/>
      </w:pPr>
      <w:r>
        <w:t xml:space="preserve"/>
      </w:r>
    </w:p>
    <w:p>
      <w:pPr>
        <w:spacing w:after="160"/>
      </w:pPr>
      <w:r>
        <w:rPr>
          <w:b/>
          <w:bCs/>
        </w:rPr>
        <w:t xml:space="preserve">School locations — HOT-OSM via HDX. </w:t>
      </w:r>
      <w:r>
        <w:t xml:space="preserve">School location data was initially sourced from the GRID3 Nigeria Education Facilities dataset, which provided the most complete ground-truthed school coverage for Nigeria including school types and operational status relevant to rehabilitation planning. The national dataset contained over 10,000 records. After geographic filtering to the three target states and rigorous manual cleaning, 76 verified, distinct education facilities were retained from an initial 167 records. The LGA is used as the primary unit of analysis because it is the primary planning unit for both EBI and the Nigerian government.</w:t>
      </w:r>
    </w:p>
    <w:p>
      <w:pPr>
        <w:spacing w:after="80"/>
      </w:pPr>
      <w:r>
        <w:t xml:space="preserve"/>
      </w:r>
    </w:p>
    <w:p>
      <w:pPr>
        <w:spacing w:after="160"/>
      </w:pPr>
      <w:r>
        <w:rPr>
          <w:b/>
          <w:bCs/>
        </w:rPr>
        <w:t xml:space="preserve">Population data — UNFPA Nigeria Subnational Population Statistics 2020 (HDX). </w:t>
      </w:r>
      <w:r>
        <w:t xml:space="preserve">WorldPop gridded rasters were considered but the UNFPA COD-PS dataset was selected as it provides LGA-level population figures already aggregated and validated by the UN, making it directly usable without raster processing and more reproducible for non-technical staff. The 5–14 age band was used as it provides granular estimates of where school-age children actually live rather than relying on outdated census totals. This was combined with conflict and school data to produce vulnerability-weighted risk scores.</w:t>
      </w:r>
    </w:p>
    <w:p>
      <w:pPr>
        <w:spacing w:after="80"/>
      </w:pPr>
      <w:r>
        <w:t xml:space="preserve"/>
      </w:r>
    </w:p>
    <w:p>
      <w:pPr>
        <w:spacing w:after="160"/>
      </w:pPr>
      <w:r>
        <w:t xml:space="preserve">These three datasets were combined to produce a composite risk score for each LGA using a weighted formula: 35% conflict event frequency, 45% fatality severity, and 20% population vulnerability. This weighting reflects the analytical judgement that lethality is the strongest indicator of education access disruption, that frequency matters second, and that population size contextualises the human scale of the crisis. The analysis reveals two distinct risk profiles among the top districts: Kukawa scores 10.0 with 37 events and 601 fatalities but 107,385 children — representing extreme conflict lethality. Gwoza scores 4.4 but has 125,905 children exposed to sustained conflict — representing the largest scale of child vulnerability. Both require immediate intervention but for different reasons, a distinction only visible when population data is included alongside conflict intensity.</w:t>
      </w:r>
    </w:p>
    <w:p>
      <w:pPr>
        <w:spacing w:after="160"/>
      </w:pPr>
      <w:r>
        <w:t xml:space="preserve">The interactive map translates this analysis into a visual that field staff and headquarters can use together. Green circles represent districts with no recorded conflict events — relatively stable areas that may be hosting displaced populations. Orange and red circles mark the conflict corridor where EBI’s resources should be concentrated. The map does not replace field knowledge — it gives that knowledge a geographic frame that makes it actionable at scale.</w:t>
      </w:r>
    </w:p>
    <w:p>
      <w:pPr>
        <w:pStyle w:val="Heading2"/>
      </w:pPr>
      <w:r>
        <w:t xml:space="preserve">Proposed Activities</w:t>
      </w:r>
    </w:p>
    <w:p>
      <w:pPr>
        <w:spacing w:after="160"/>
      </w:pPr>
      <w:r>
        <w:rPr>
          <w:b/>
          <w:bCs/>
        </w:rPr>
        <w:t xml:space="preserve">Activity 1 — Data sourcing and preparation. </w:t>
      </w:r>
      <w:r>
        <w:t xml:space="preserve">Download and clean the three datasets for Borno, Yobe, and Adamawa. Python and Pandas scripts were used to filter school data by state codes (BR, YO, AD) and conflict data by region name, creating focused CSVs for the target geography. The school dataset underwent rigorous manual record-by-record review in Google Sheets to remove non-school entries and unverifiable records. All raw and cleaned data, a data dictionary, and the UNFPA population source file are stored in the project’s public GitHub repository.</w:t>
      </w:r>
    </w:p>
    <w:p>
      <w:pPr>
        <w:spacing w:after="80"/>
      </w:pPr>
      <w:r>
        <w:t xml:space="preserve"/>
      </w:r>
    </w:p>
    <w:p>
      <w:pPr>
        <w:spacing w:after="160"/>
      </w:pPr>
      <w:r>
        <w:rPr>
          <w:b/>
          <w:bCs/>
        </w:rPr>
        <w:t xml:space="preserve">Activity 2 — Spatial analysis. </w:t>
      </w:r>
      <w:r>
        <w:t xml:space="preserve">Calculate conflict event density and fatality severity per LGA, extract school-age population estimates, and generate composite risk scores using the 35/45/20 weighted formula. LGAs are ranked by risk level, producing a prioritisation list that complements field assessments. A sensitivity check comparing 12-month and 36-month analysis windows is documented in the methodology note.</w:t>
      </w:r>
    </w:p>
    <w:p>
      <w:pPr>
        <w:spacing w:after="80"/>
      </w:pPr>
      <w:r>
        <w:t xml:space="preserve"/>
      </w:r>
    </w:p>
    <w:p>
      <w:pPr>
        <w:spacing w:after="160"/>
      </w:pPr>
      <w:r>
        <w:rPr>
          <w:b/>
          <w:bCs/>
        </w:rPr>
        <w:t xml:space="preserve">Activity 3 — Interactive map development. </w:t>
      </w:r>
      <w:r>
        <w:t xml:space="preserve">Build an interactive dashboard using React and Leaflet.js, published on GitHub Pages at https://benedicta-onyekwere.github.io/education-risk-northeast-nigeria/. The map shows school locations as point markers, conflict events as an intensity heatmap at 0.5 opacity, and LGA boundaries as colour-coded circles scaled by composite risk score. The sidebar displays the top five priority districts with event counts, fatality figures, estimated children at risk, and composite scores.</w:t>
      </w:r>
    </w:p>
    <w:p>
      <w:pPr>
        <w:spacing w:after="80"/>
      </w:pPr>
      <w:r>
        <w:t xml:space="preserve"/>
      </w:r>
    </w:p>
    <w:p>
      <w:pPr>
        <w:spacing w:after="160"/>
      </w:pPr>
      <w:r>
        <w:rPr>
          <w:b/>
          <w:bCs/>
        </w:rPr>
        <w:t xml:space="preserve">Activity 4 — Methodology documentation. </w:t>
      </w:r>
      <w:r>
        <w:t xml:space="preserve">A methodology note documents all data sources, cleaning decisions, the composite risk formula and alternative weightings, and replication steps for a new country context. All scripts are commented and included in the repository alongside a README and data dictionary.</w:t>
      </w:r>
    </w:p>
    <w:p>
      <w:pPr>
        <w:spacing w:after="80"/>
      </w:pPr>
      <w:r>
        <w:t xml:space="preserve"/>
      </w:r>
    </w:p>
    <w:p>
      <w:pPr>
        <w:pStyle w:val="Heading2"/>
      </w:pPr>
      <w:r>
        <w:t xml:space="preserve">Use of Technology and AI</w:t>
      </w:r>
    </w:p>
    <w:p>
      <w:pPr>
        <w:spacing w:after="160"/>
      </w:pPr>
      <w:r>
        <w:t xml:space="preserve">To deliver a tool that is both technically robust and accessible to EBI’s non-technical field staff, this project employs an AI-augmented development workflow in which AI handles data processing tasks while human judgement governs all analytical and design decisions.</w:t>
      </w:r>
    </w:p>
    <w:p>
      <w:pPr>
        <w:spacing w:after="80"/>
      </w:pPr>
      <w:r>
        <w:rPr>
          <w:b/>
          <w:bCs/>
        </w:rPr>
        <w:t xml:space="preserve">AI as a data engineering assistant. </w:t>
      </w:r>
    </w:p>
    <w:p>
      <w:pPr>
        <w:spacing w:after="160"/>
      </w:pPr>
      <w:r>
        <w:t xml:space="preserve">Large Language Models were used to generate and debug Python and Pandas scripts for filtering UCDP conflict events and joining datasets by LGA boundary. AI also generated validation functions to flag school coordinates outside Nigeria’s administrative boundaries, catching data integrity issues before analysis began. All code is documented and stored in the repository.</w:t>
      </w:r>
    </w:p>
    <w:p>
      <w:pPr>
        <w:spacing w:after="80"/>
      </w:pPr>
      <w:r>
        <w:rPr>
          <w:b/>
          <w:bCs/>
        </w:rPr>
        <w:t xml:space="preserve">Systematic data quality. </w:t>
      </w:r>
    </w:p>
    <w:p>
      <w:pPr>
        <w:spacing w:after="160"/>
      </w:pPr>
      <w:r>
        <w:t xml:space="preserve">Every school record was manually reviewed in Google Sheets, with consistent documented logic applied to each deletion decision. The cleaned dataset was validated against the source file to confirm provenance before integration. The UNFPA population file was downloaded directly from HDX and verified before use, ensuring all figures are traceable to a citable primary source in the repository.</w:t>
      </w:r>
    </w:p>
    <w:p>
      <w:pPr>
        <w:spacing w:after="80"/>
      </w:pPr>
      <w:r>
        <w:rPr>
          <w:b/>
          <w:bCs/>
        </w:rPr>
        <w:t xml:space="preserve">Human-led reasoning in analytical design. </w:t>
      </w:r>
    </w:p>
    <w:p>
      <w:pPr>
        <w:spacing w:after="160"/>
      </w:pPr>
      <w:r>
        <w:t xml:space="preserve">The three components of the composite risk score and their weightings reflect deliberate choices grounded in humanitarian prioritisation principles. AI was used to stress-test this logic by simulating how shifting weights between conflict frequency, fatality severity, and population vulnerability changes the LGA ranking. This makes the methodology transparent and adjustable without becoming a black box.</w:t>
      </w:r>
    </w:p>
    <w:p>
      <w:pPr>
        <w:spacing w:after="80"/>
      </w:pPr>
      <w:r>
        <w:rPr>
          <w:b/>
          <w:bCs/>
        </w:rPr>
        <w:t xml:space="preserve">Rapid prototyping and deployment. </w:t>
      </w:r>
    </w:p>
    <w:p>
      <w:pPr>
        <w:spacing w:after="160"/>
      </w:pPr>
      <w:r>
        <w:t xml:space="preserve">The visual interface was prototyped using v0 (Vercel’s AI-assisted design tool) to focus on human-centred design, ensuring the most critical risk information is visible at a glance. The final artifact was built in React with Leaflet.js and hosted on GitHub Pages. The data layer is separated from the visualisation layer so applying the tool to a different country requires only swapping input datasets.</w:t>
      </w:r>
    </w:p>
    <w:p>
      <w:pPr>
        <w:pStyle w:val="Heading2"/>
      </w:pPr>
      <w:r>
        <w:t xml:space="preserve">Deliverables</w:t>
      </w:r>
    </w:p>
    <w:p>
      <w:pPr>
        <w:pStyle w:val="ListParagraph"/>
        <w:numPr>
          <w:ilvl w:val="0"/>
          <w:numId w:val="2"/>
        </w:numPr>
        <w:spacing w:after="100"/>
      </w:pPr>
      <w:r>
        <w:rPr>
          <w:b/>
          <w:bCs/>
        </w:rPr>
        <w:t xml:space="preserve">An interactive dashboard </w:t>
      </w:r>
      <w:r>
        <w:t xml:space="preserve">published at https://benedicta-onyekwere.github.io/education-risk-northeast-nigeria/, showing conflict intensity, verified school locations, and LGA risk scores across Borno, Yobe, and Adamawa. The top five priority districts — Kukawa (107,385 children at risk), Gwoza (125,905), Marte (68,283), Abadam (45,707), and Bama (86,109) — are identified with event counts, fatality figures, population estimates, and composite risk scores.</w:t>
      </w:r>
    </w:p>
    <w:p>
      <w:pPr>
        <w:pStyle w:val="ListParagraph"/>
        <w:numPr>
          <w:ilvl w:val="0"/>
          <w:numId w:val="2"/>
        </w:numPr>
        <w:spacing w:after="100"/>
      </w:pPr>
      <w:r>
        <w:rPr>
          <w:b/>
          <w:bCs/>
        </w:rPr>
        <w:t xml:space="preserve">A cleaned, documented dataset </w:t>
      </w:r>
      <w:r>
        <w:t xml:space="preserve">in the project’s public GitHub repository, including processed UCDP conflict events, HOT-OSM school locations, UNFPA population figures, and LGA risk scores, with a data dictionary explaining each field, exclusion decisions, and source licence terms.</w:t>
      </w:r>
    </w:p>
    <w:p>
      <w:pPr>
        <w:pStyle w:val="ListParagraph"/>
        <w:numPr>
          <w:ilvl w:val="0"/>
          <w:numId w:val="2"/>
        </w:numPr>
        <w:spacing w:after="100"/>
      </w:pPr>
      <w:r>
        <w:rPr>
          <w:b/>
          <w:bCs/>
        </w:rPr>
        <w:t xml:space="preserve">A methodology note </w:t>
      </w:r>
      <w:r>
        <w:t xml:space="preserve">explaining how the analysis was conducted, how the composite risk score was calculated and how its weightings can be adjusted, and how the full approach can be replicated in a different country context.</w:t>
      </w:r>
    </w:p>
    <w:p>
      <w:pPr>
        <w:spacing w:after="80"/>
      </w:pPr>
      <w:r>
        <w:t xml:space="preserve"/>
      </w:r>
    </w:p>
    <w:p>
      <w:pPr>
        <w:spacing w:after="160"/>
      </w:pPr>
      <w:r>
        <w:t xml:space="preserve">This strategy does not attempt to solve every challenge EBI faces across its 12 country programmes. It picks one specific, demonstrable capability — seeing where children are most at risk relative to conflict and school access — and builds a tool around it that EBI staff can open, understand, and use the day the project ends. That is the capability EBI’s RFP describes needing. This proposal delivers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2026-04-25T18:57:59.909Z</dcterms:created>
  <dcterms:modified xsi:type="dcterms:W3CDTF">2026-04-25T18:57:59.911Z</dcterms:modified>
</cp:coreProperties>
</file>

<file path=docProps/custom.xml><?xml version="1.0" encoding="utf-8"?>
<Properties xmlns="http://schemas.openxmlformats.org/officeDocument/2006/custom-properties" xmlns:vt="http://schemas.openxmlformats.org/officeDocument/2006/docPropsVTypes"/>
</file>