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alibri" w:eastAsia="Times New Roman" w:hAnsi="Calibri" w:cs="Times New Roman"/>
          <w:color w:val="000000"/>
          <w:lang w:eastAsia="de-DE"/>
        </w:rPr>
        <w:t>Hallo,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alibri" w:eastAsia="Times New Roman" w:hAnsi="Calibri" w:cs="Times New Roman"/>
          <w:color w:val="000000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alibri" w:eastAsia="Times New Roman" w:hAnsi="Calibri" w:cs="Times New Roman"/>
          <w:color w:val="000000"/>
          <w:lang w:eastAsia="de-DE"/>
        </w:rPr>
        <w:t>untenstehend der Einkaufbestelltext für das Profil Blende VDKD Audi A3: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alibri" w:eastAsia="Times New Roman" w:hAnsi="Calibri" w:cs="Times New Roman"/>
          <w:color w:val="000000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DURA Ident-Nr.:  510 523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LM-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Pessprofil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Nr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2615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Projekt:    Audi A3 Cabrio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Zsb.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-Bezeichnung: Zierleiste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Verdeckkastendeckel</w:t>
      </w:r>
      <w:proofErr w:type="spellEnd"/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Technische Lieferbedingungen gemäß DIN EN 755-1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Legierung: AW6060 AlMgSi0,5 nach DIN EN 573-3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Zustand: (T4)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Mechanische Eigenschaften gemäß DIN 755-2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Abweichende mechanische Eigenschaften: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Zugfestigkeit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Rm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 &gt;120 N/mm²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Streckgrenze  Rp0,2 &gt;60 N/mm²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Bruchdehnung    A = 14%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                      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Anwendung: anodisiert, für den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Einstaz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als Zierleiste in der Automobilindustrie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Streckbiegefähig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Fräsen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Lochen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Gemäß Zeichnung 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Nr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510523, Index -c- vom 12.11.2012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Die Einhaltung der Zeichnungsvorgaben wird garantiert.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Länge: 2.185 +3/-0 mm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Sonstige Forderungen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- Maximal zulässiger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Sägegrat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&lt;= 0,3mm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Oberflächenbeschaffenheit: abweichend von DIN EN 12020-1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- abweichende Rauheitsforderungen: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Rt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max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6my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Toleranzen: gem. Zeichnung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 Kennzeichnung: keine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- zulässige Sägespanbehaftung: </w:t>
      </w:r>
      <w:proofErr w:type="spellStart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sparnarme</w:t>
      </w:r>
      <w:proofErr w:type="spellEnd"/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Anlieferung,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keine anhaftenden Späne zulässig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Eine Prüfbescheinigung 3.1 gemäß EN 10204 ist mit jeder Lieferung an den jeweiligen QS-Wareneingang des Lieferwerkes innerhalb von einem AT zu liefern. Im Zusammenhang mit dem Erstmusterprüfbericht wird dieses Dokument automatisch zur Verfügung gestellt.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 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Verpackung: Stahlgestelle</w:t>
      </w:r>
    </w:p>
    <w:p w:rsidR="0028318C" w:rsidRPr="0028318C" w:rsidRDefault="0028318C" w:rsidP="0028318C">
      <w:pPr>
        <w:spacing w:after="0" w:line="240" w:lineRule="auto"/>
        <w:rPr>
          <w:rFonts w:ascii="Calibri" w:eastAsia="Times New Roman" w:hAnsi="Calibri" w:cs="Times New Roman"/>
          <w:color w:val="000000"/>
          <w:lang w:eastAsia="de-DE"/>
        </w:rPr>
      </w:pPr>
      <w:r w:rsidRPr="0028318C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Anlieferintervall: wöchentlich</w:t>
      </w:r>
    </w:p>
    <w:p w:rsidR="003029D4" w:rsidRDefault="003029D4"/>
    <w:sectPr w:rsidR="003029D4" w:rsidSect="00302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318C"/>
    <w:rsid w:val="0028318C"/>
    <w:rsid w:val="0030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29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Company>Hewlett-Packard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2013-11-10T09:01:00Z</dcterms:created>
  <dcterms:modified xsi:type="dcterms:W3CDTF">2013-11-10T09:02:00Z</dcterms:modified>
</cp:coreProperties>
</file>