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Arial" w:cs="Arial" w:eastAsia="Arial" w:hAnsi="Arial"/>
          <w:b/>
          <w:bCs/>
          <w:color w:val="2E5C8A"/>
          <w:sz w:val="56"/>
          <w:szCs w:val="56"/>
        </w:rPr>
        <w:t xml:space="preserve">Master Thesis Blueprint</w:t>
      </w:r>
    </w:p>
    <w:p>
      <w:pPr>
        <w:spacing w:after="120"/>
        <w:jc w:val="center"/>
      </w:pPr>
      <w:r>
        <w:rPr>
          <w:rFonts w:ascii="Arial" w:cs="Arial" w:eastAsia="Arial" w:hAnsi="Arial"/>
          <w:b/>
          <w:bCs/>
          <w:sz w:val="30"/>
          <w:szCs w:val="30"/>
        </w:rPr>
        <w:t xml:space="preserve">Optimizing Music Streaming Services — Research Question 2</w:t>
      </w:r>
    </w:p>
    <w:p>
      <w:pPr>
        <w:spacing w:after="80"/>
        <w:jc w:val="center"/>
      </w:pPr>
      <w:r>
        <w:rPr>
          <w:rFonts w:ascii="Arial" w:cs="Arial" w:eastAsia="Arial" w:hAnsi="Arial"/>
          <w:i/>
          <w:iCs/>
          <w:sz w:val="24"/>
          <w:szCs w:val="24"/>
        </w:rPr>
        <w:t xml:space="preserve">Predicting, Understanding, and Growing Active Users on NetEase Cloud Music</w:t>
      </w:r>
    </w:p>
    <w:p>
      <w:pPr>
        <w:spacing w:after="60" w:before="1600"/>
        <w:jc w:val="center"/>
      </w:pPr>
      <w:r>
        <w:rPr>
          <w:rFonts w:ascii="Arial" w:cs="Arial" w:eastAsia="Arial" w:hAnsi="Arial"/>
          <w:sz w:val="22"/>
          <w:szCs w:val="22"/>
        </w:rPr>
        <w:t xml:space="preserve">Field Lab — Nova SBE, Academic Year 2026/27</w:t>
      </w:r>
    </w:p>
    <w:p>
      <w:pPr>
        <w:spacing w:after="60"/>
        <w:jc w:val="center"/>
      </w:pPr>
      <w:r>
        <w:rPr>
          <w:rFonts w:ascii="Arial" w:cs="Arial" w:eastAsia="Arial" w:hAnsi="Arial"/>
          <w:sz w:val="22"/>
          <w:szCs w:val="22"/>
        </w:rPr>
        <w:t xml:space="preserve">Advisor: Yufei Shen  ·  Team of 4–5  ·  Sept 8 – Dec 8, 2026</w:t>
      </w:r>
    </w:p>
    <w:p>
      <w:pPr>
        <w:jc w:val="center"/>
      </w:pPr>
      <w:r>
        <w:rPr>
          <w:rFonts w:ascii="Arial" w:cs="Arial" w:eastAsia="Arial" w:hAnsi="Arial"/>
          <w:color w:val="888888"/>
          <w:sz w:val="20"/>
          <w:szCs w:val="20"/>
        </w:rPr>
        <w:t xml:space="preserve">Working blueprint — internal planning document</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of This Document</w:t>
      </w:r>
    </w:p>
    <w:p>
      <w:pPr>
        <w:spacing w:after="140" w:line="276"/>
      </w:pPr>
      <w:r>
        <w:t xml:space="preserve">This blueprint is the team's shared plan for tackling Research Question 2 of the NetEase Cloud Music (NCM) field lab. It commits to one coherent research spine rather than a menu of options, assigns one algorithm to each team member, specifies the data foundation everyone shares, and lays out the timeline through the December 8 deadline. It is written to be worked through directly: each section moves from framing to concrete tasks, and Section 6 is effectively a per-person work order.</w:t>
      </w:r>
    </w:p>
    <w:p>
      <w:pPr>
        <w:spacing w:after="140" w:line="276"/>
      </w:pPr>
      <w:r>
        <w:t xml:space="preserve">The guiding constraint behind every choice here is </w:t>
      </w:r>
      <w:r>
        <w:rPr>
          <w:b/>
          <w:bCs/>
        </w:rPr>
        <w:t xml:space="preserve">differentiation from the two theses already completed under this advisor</w:t>
      </w:r>
      <w:r>
        <w:t xml:space="preserve">. Section 3 documents exactly what was done before and how this plan avoids re-treading it.</w:t>
      </w:r>
    </w:p>
    <w:p>
      <w:pPr>
        <w:pStyle w:val="Heading1"/>
      </w:pPr>
      <w:r>
        <w:t xml:space="preserve">2. The Research Question, Decomposed</w:t>
      </w:r>
    </w:p>
    <w:p>
      <w:pPr>
        <w:spacing w:after="140" w:line="276"/>
      </w:pPr>
      <w:r>
        <w:t xml:space="preserve">Question 2 as posed by NCM reads: </w:t>
      </w:r>
      <w:r>
        <w:rPr>
          <w:i/>
          <w:iCs/>
        </w:rPr>
        <w:t xml:space="preserve">“What are the characteristics and preferences of active users on the platform? How could the platform predict whether a user will be active or inactive from her early-on actions, such as clicks, likes, and shares? How could the platform design the recommender system to maximize the number of active users?”</w:t>
      </w:r>
    </w:p>
    <w:p>
      <w:pPr>
        <w:spacing w:after="140" w:line="276"/>
      </w:pPr>
      <w:r>
        <w:t xml:space="preserve">This is really three linked sub-questions, and they are unevenly served by prior work. The spine is built so that each sub-question is owned by at least one member, with the heaviest investment going where the white space is largest.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400"/>
        <w:gridCol w:w="5440"/>
      </w:tblGrid>
      <w:tr>
        <w:tc>
          <w:tcPr>
            <w:tcW w:type="dxa" w:w="520"/>
            <w:tcBorders>
              <w:top w:val="single" w:color="BBBBBB" w:sz="1"/>
              <w:left w:val="single" w:color="BBBBBB" w:sz="1"/>
              <w:bottom w:val="single" w:color="BBBBBB" w:sz="1"/>
              <w:right w:val="single" w:color="BBBBBB" w:sz="1"/>
            </w:tcBorders>
            <w:shd w:fill="2E5C8A" w:val="clear"/>
            <w:tcMar>
              <w:top w:type="dxa" w:w="70"/>
              <w:left w:type="dxa" w:w="110"/>
              <w:bottom w:type="dxa" w:w="70"/>
              <w:right w:type="dxa" w:w="110"/>
            </w:tcMar>
          </w:tcPr>
          <w:p>
            <w:pPr>
              <w:jc w:val="left"/>
            </w:pPr>
            <w:r>
              <w:rPr>
                <w:b/>
                <w:bCs/>
                <w:color w:val="FFFFFF"/>
              </w:rPr>
              <w:t xml:space="preserve">Part</w:t>
            </w:r>
          </w:p>
        </w:tc>
        <w:tc>
          <w:tcPr>
            <w:tcW w:type="dxa" w:w="3400"/>
            <w:tcBorders>
              <w:top w:val="single" w:color="BBBBBB" w:sz="1"/>
              <w:left w:val="single" w:color="BBBBBB" w:sz="1"/>
              <w:bottom w:val="single" w:color="BBBBBB" w:sz="1"/>
              <w:right w:val="single" w:color="BBBBBB" w:sz="1"/>
            </w:tcBorders>
            <w:shd w:fill="2E5C8A" w:val="clear"/>
            <w:tcMar>
              <w:top w:type="dxa" w:w="70"/>
              <w:left w:type="dxa" w:w="110"/>
              <w:bottom w:type="dxa" w:w="70"/>
              <w:right w:type="dxa" w:w="110"/>
            </w:tcMar>
          </w:tcPr>
          <w:p>
            <w:pPr>
              <w:jc w:val="left"/>
            </w:pPr>
            <w:r>
              <w:rPr>
                <w:b/>
                <w:bCs/>
                <w:color w:val="FFFFFF"/>
              </w:rPr>
              <w:t xml:space="preserve">Sub-question</w:t>
            </w:r>
          </w:p>
        </w:tc>
        <w:tc>
          <w:tcPr>
            <w:tcW w:type="dxa" w:w="5440"/>
            <w:tcBorders>
              <w:top w:val="single" w:color="BBBBBB" w:sz="1"/>
              <w:left w:val="single" w:color="BBBBBB" w:sz="1"/>
              <w:bottom w:val="single" w:color="BBBBBB" w:sz="1"/>
              <w:right w:val="single" w:color="BBBBBB" w:sz="1"/>
            </w:tcBorders>
            <w:shd w:fill="2E5C8A" w:val="clear"/>
            <w:tcMar>
              <w:top w:type="dxa" w:w="70"/>
              <w:left w:type="dxa" w:w="110"/>
              <w:bottom w:type="dxa" w:w="70"/>
              <w:right w:type="dxa" w:w="110"/>
            </w:tcMar>
          </w:tcPr>
          <w:p>
            <w:pPr>
              <w:jc w:val="left"/>
            </w:pPr>
            <w:r>
              <w:rPr>
                <w:b/>
                <w:bCs/>
                <w:color w:val="FFFFFF"/>
              </w:rPr>
              <w:t xml:space="preserve">Status in prior work</w:t>
            </w:r>
          </w:p>
        </w:tc>
      </w:tr>
      <w:tr>
        <w:tc>
          <w:tcPr>
            <w:tcW w:type="dxa" w:w="5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bCs/>
              </w:rPr>
              <w:t xml:space="preserve">(a)</w:t>
            </w:r>
          </w:p>
        </w:tc>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val="false"/>
                <w:bCs w:val="false"/>
              </w:rPr>
              <w:t xml:space="preserve">Characteristics &amp; preferences of active users</w:t>
            </w:r>
          </w:p>
        </w:tc>
        <w:tc>
          <w:tcPr>
            <w:tcW w:type="dxa" w:w="5440"/>
            <w:tcBorders>
              <w:top w:val="single" w:color="BBBBBB" w:sz="1"/>
              <w:left w:val="single" w:color="BBBBBB" w:sz="1"/>
              <w:bottom w:val="single" w:color="BBBBBB" w:sz="1"/>
              <w:right w:val="single" w:color="BBBBBB" w:sz="1"/>
            </w:tcBorders>
            <w:shd w:fill="EFEFEF" w:val="clear"/>
            <w:tcMar>
              <w:top w:type="dxa" w:w="70"/>
              <w:left w:type="dxa" w:w="110"/>
              <w:bottom w:type="dxa" w:w="70"/>
              <w:right w:type="dxa" w:w="110"/>
            </w:tcMar>
          </w:tcPr>
          <w:p>
            <w:pPr>
              <w:jc w:val="left"/>
            </w:pPr>
            <w:r>
              <w:rPr>
                <w:b w:val="false"/>
                <w:bCs w:val="false"/>
              </w:rPr>
              <w:t xml:space="preserve">Only described with summary statistics. Never modelled as taste/behaviour structure. Open.</w:t>
            </w:r>
          </w:p>
        </w:tc>
      </w:tr>
      <w:tr>
        <w:tc>
          <w:tcPr>
            <w:tcW w:type="dxa" w:w="5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bCs/>
              </w:rPr>
              <w:t xml:space="preserve">(b)</w:t>
            </w:r>
          </w:p>
        </w:tc>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val="false"/>
                <w:bCs w:val="false"/>
              </w:rPr>
              <w:t xml:space="preserve">Predict active vs. inactive from early actions</w:t>
            </w:r>
          </w:p>
        </w:tc>
        <w:tc>
          <w:tcPr>
            <w:tcW w:type="dxa" w:w="544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val="false"/>
                <w:bCs w:val="false"/>
              </w:rPr>
              <w:t xml:space="preserve">Saturated. Prior thesis flattened early actions into static features and ran LR / RF / XGBoost / MLP with SHAP.</w:t>
            </w:r>
          </w:p>
        </w:tc>
      </w:tr>
      <w:tr>
        <w:tc>
          <w:tcPr>
            <w:tcW w:type="dxa" w:w="5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bCs/>
              </w:rPr>
              <w:t xml:space="preserve">(c)</w:t>
            </w:r>
          </w:p>
        </w:tc>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val="false"/>
                <w:bCs w:val="false"/>
              </w:rPr>
              <w:t xml:space="preserve">Design a recommender to maximize the number of active users</w:t>
            </w:r>
          </w:p>
        </w:tc>
        <w:tc>
          <w:tcPr>
            <w:tcW w:type="dxa" w:w="5440"/>
            <w:tcBorders>
              <w:top w:val="single" w:color="BBBBBB" w:sz="1"/>
              <w:left w:val="single" w:color="BBBBBB" w:sz="1"/>
              <w:bottom w:val="single" w:color="BBBBBB" w:sz="1"/>
              <w:right w:val="single" w:color="BBBBBB" w:sz="1"/>
            </w:tcBorders>
            <w:shd w:fill="EFEFEF" w:val="clear"/>
            <w:tcMar>
              <w:top w:type="dxa" w:w="70"/>
              <w:left w:type="dxa" w:w="110"/>
              <w:bottom w:type="dxa" w:w="70"/>
              <w:right w:type="dxa" w:w="110"/>
            </w:tcMar>
          </w:tcPr>
          <w:p>
            <w:pPr>
              <w:jc w:val="left"/>
            </w:pPr>
            <w:r>
              <w:rPr>
                <w:b w:val="false"/>
                <w:bCs w:val="false"/>
              </w:rPr>
              <w:t xml:space="preserve">Essentially untouched as an optimization problem. Largest white space.</w:t>
            </w:r>
          </w:p>
        </w:tc>
      </w:tr>
    </w:tbl>
    <w:p>
      <w:pPr>
        <w:pStyle w:val="Heading1"/>
      </w:pPr>
      <w:r>
        <w:t xml:space="preserve">3. Positioning Against Prior Theses (Anti-Overlap)</w:t>
      </w:r>
    </w:p>
    <w:p>
      <w:pPr>
        <w:spacing w:after="140" w:line="276"/>
      </w:pPr>
      <w:r>
        <w:t xml:space="preserve">Two theses have already been submitted under this advisor on this dataset. Understanding their exact scope is what lets us claim novelty with confidence.</w:t>
      </w:r>
    </w:p>
    <w:p>
      <w:pPr>
        <w:pStyle w:val="Heading2"/>
      </w:pPr>
      <w:r>
        <w:t xml:space="preserve">3.1 What was already done</w:t>
      </w:r>
    </w:p>
    <w:p>
      <w:pPr>
        <w:spacing w:after="140" w:line="276"/>
      </w:pPr>
      <w:r>
        <w:rPr>
          <w:b/>
          <w:bCs/>
        </w:rPr>
        <w:t xml:space="preserve">Thesis 1 — “Predicting User Activity Through Early Behaviour Signals” (Gestring, Melzer, Schaller, Tran; 100 pp.).</w:t>
      </w:r>
    </w:p>
    <w:p>
      <w:pPr>
        <w:pStyle w:val="ListParagraph"/>
        <w:numPr>
          <w:ilvl w:val="0"/>
          <w:numId w:val="2"/>
        </w:numPr>
        <w:spacing w:after="60" w:line="264"/>
      </w:pPr>
      <w:r>
        <w:t xml:space="preserve">Directly answers Part (b). Constructs user-level features from the first ~4 actions after registration (interaction intensity, social richness, depth, temporal persistence, popularity exposure).</w:t>
      </w:r>
    </w:p>
    <w:p>
      <w:pPr>
        <w:pStyle w:val="ListParagraph"/>
        <w:numPr>
          <w:ilvl w:val="0"/>
          <w:numId w:val="2"/>
        </w:numPr>
        <w:spacing w:after="60" w:line="264"/>
      </w:pPr>
      <w:r>
        <w:t xml:space="preserve">Binary active/inactive classification with Logistic Regression, Random Forest, XGBoost, and an MLP; SHAP for explainability; robustness checks across alternative activeness thresholds. XGBoost won.</w:t>
      </w:r>
    </w:p>
    <w:p>
      <w:pPr>
        <w:pStyle w:val="ListParagraph"/>
        <w:numPr>
          <w:ilvl w:val="0"/>
          <w:numId w:val="2"/>
        </w:numPr>
        <w:spacing w:after="60" w:line="264"/>
      </w:pPr>
      <w:r>
        <w:t xml:space="preserve">Key design choice — and key limitation for us to exploit: the early actions were flattened into static aggregate features. Order and timing of events were discarded.</w:t>
      </w:r>
    </w:p>
    <w:p>
      <w:pPr>
        <w:spacing w:after="140" w:line="276"/>
      </w:pPr>
      <w:r>
        <w:rPr>
          <w:b/>
          <w:bCs/>
        </w:rPr>
        <w:t xml:space="preserve">Thesis 2 — “Improving Personalized Recommendations for Cold-Start Users” (Kolisnyk; 35 pp.).</w:t>
      </w:r>
    </w:p>
    <w:p>
      <w:pPr>
        <w:pStyle w:val="ListParagraph"/>
        <w:numPr>
          <w:ilvl w:val="0"/>
          <w:numId w:val="2"/>
        </w:numPr>
        <w:spacing w:after="60" w:line="264"/>
      </w:pPr>
      <w:r>
        <w:t xml:space="preserve">Touches the recommender side, but only for the cold-start / new-user case: user-similarity, preference elicitation, a DeCS-inspired model, discriminative frequent itemsets, and a demographic→data-rich hybrid.</w:t>
      </w:r>
    </w:p>
    <w:p>
      <w:pPr>
        <w:pStyle w:val="ListParagraph"/>
        <w:numPr>
          <w:ilvl w:val="0"/>
          <w:numId w:val="2"/>
        </w:numPr>
        <w:spacing w:after="60" w:line="264"/>
      </w:pPr>
      <w:r>
        <w:t xml:space="preserve">Frames recommendation as a similarity/relevance problem, not as an objective to maximize the count of active users. It does not model retention or causal uplift.</w:t>
      </w:r>
    </w:p>
    <w:p>
      <w:pPr>
        <w:pStyle w:val="Heading2"/>
      </w:pPr>
      <w:r>
        <w:t xml:space="preserve">3.2 Where this plan does NOT overlap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BBBBBB" w:sz="1"/>
              <w:left w:val="single" w:color="BBBBBB" w:sz="1"/>
              <w:bottom w:val="single" w:color="BBBBBB" w:sz="1"/>
              <w:right w:val="single" w:color="BBBBBB" w:sz="1"/>
            </w:tcBorders>
            <w:shd w:fill="2E5C8A" w:val="clear"/>
            <w:tcMar>
              <w:top w:type="dxa" w:w="70"/>
              <w:left w:type="dxa" w:w="110"/>
              <w:bottom w:type="dxa" w:w="70"/>
              <w:right w:type="dxa" w:w="110"/>
            </w:tcMar>
          </w:tcPr>
          <w:p>
            <w:pPr>
              <w:jc w:val="left"/>
            </w:pPr>
            <w:r>
              <w:rPr>
                <w:b/>
                <w:bCs/>
                <w:color w:val="FFFFFF"/>
              </w:rPr>
              <w:t xml:space="preserve">Dimension</w:t>
            </w:r>
          </w:p>
        </w:tc>
        <w:tc>
          <w:tcPr>
            <w:tcW w:type="dxa" w:w="3180"/>
            <w:tcBorders>
              <w:top w:val="single" w:color="BBBBBB" w:sz="1"/>
              <w:left w:val="single" w:color="BBBBBB" w:sz="1"/>
              <w:bottom w:val="single" w:color="BBBBBB" w:sz="1"/>
              <w:right w:val="single" w:color="BBBBBB" w:sz="1"/>
            </w:tcBorders>
            <w:shd w:fill="2E5C8A" w:val="clear"/>
            <w:tcMar>
              <w:top w:type="dxa" w:w="70"/>
              <w:left w:type="dxa" w:w="110"/>
              <w:bottom w:type="dxa" w:w="70"/>
              <w:right w:type="dxa" w:w="110"/>
            </w:tcMar>
          </w:tcPr>
          <w:p>
            <w:pPr>
              <w:jc w:val="left"/>
            </w:pPr>
            <w:r>
              <w:rPr>
                <w:b/>
                <w:bCs/>
                <w:color w:val="FFFFFF"/>
              </w:rPr>
              <w:t xml:space="preserve">Prior work</w:t>
            </w:r>
          </w:p>
        </w:tc>
        <w:tc>
          <w:tcPr>
            <w:tcW w:type="dxa" w:w="3180"/>
            <w:tcBorders>
              <w:top w:val="single" w:color="BBBBBB" w:sz="1"/>
              <w:left w:val="single" w:color="BBBBBB" w:sz="1"/>
              <w:bottom w:val="single" w:color="BBBBBB" w:sz="1"/>
              <w:right w:val="single" w:color="BBBBBB" w:sz="1"/>
            </w:tcBorders>
            <w:shd w:fill="2E5C8A" w:val="clear"/>
            <w:tcMar>
              <w:top w:type="dxa" w:w="70"/>
              <w:left w:type="dxa" w:w="110"/>
              <w:bottom w:type="dxa" w:w="70"/>
              <w:right w:type="dxa" w:w="110"/>
            </w:tcMar>
          </w:tcPr>
          <w:p>
            <w:pPr>
              <w:jc w:val="left"/>
            </w:pPr>
            <w:r>
              <w:rPr>
                <w:b/>
                <w:bCs/>
                <w:color w:val="FFFFFF"/>
              </w:rPr>
              <w:t xml:space="preserve">This thesis</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bCs/>
              </w:rPr>
              <w:t xml:space="preserve">Representation of early actions</w:t>
            </w:r>
          </w:p>
        </w:tc>
        <w:tc>
          <w:tcPr>
            <w:tcW w:type="dxa" w:w="31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val="false"/>
                <w:bCs w:val="false"/>
              </w:rPr>
              <w:t xml:space="preserve">Static aggregate features</w:t>
            </w:r>
          </w:p>
        </w:tc>
        <w:tc>
          <w:tcPr>
            <w:tcW w:type="dxa" w:w="31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val="false"/>
                <w:bCs w:val="false"/>
              </w:rPr>
              <w:t xml:space="preserve">Ordered event sequences (timing + position preserved)</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bCs/>
              </w:rPr>
              <w:t xml:space="preserve">Prediction target</w:t>
            </w:r>
          </w:p>
        </w:tc>
        <w:tc>
          <w:tcPr>
            <w:tcW w:type="dxa" w:w="3180"/>
            <w:tcBorders>
              <w:top w:val="single" w:color="BBBBBB" w:sz="1"/>
              <w:left w:val="single" w:color="BBBBBB" w:sz="1"/>
              <w:bottom w:val="single" w:color="BBBBBB" w:sz="1"/>
              <w:right w:val="single" w:color="BBBBBB" w:sz="1"/>
            </w:tcBorders>
            <w:shd w:fill="EFEFEF" w:val="clear"/>
            <w:tcMar>
              <w:top w:type="dxa" w:w="70"/>
              <w:left w:type="dxa" w:w="110"/>
              <w:bottom w:type="dxa" w:w="70"/>
              <w:right w:type="dxa" w:w="110"/>
            </w:tcMar>
          </w:tcPr>
          <w:p>
            <w:pPr>
              <w:jc w:val="left"/>
            </w:pPr>
            <w:r>
              <w:rPr>
                <w:b w:val="false"/>
                <w:bCs w:val="false"/>
              </w:rPr>
              <w:t xml:space="preserve">Binary label at a fixed point</w:t>
            </w:r>
          </w:p>
        </w:tc>
        <w:tc>
          <w:tcPr>
            <w:tcW w:type="dxa" w:w="3180"/>
            <w:tcBorders>
              <w:top w:val="single" w:color="BBBBBB" w:sz="1"/>
              <w:left w:val="single" w:color="BBBBBB" w:sz="1"/>
              <w:bottom w:val="single" w:color="BBBBBB" w:sz="1"/>
              <w:right w:val="single" w:color="BBBBBB" w:sz="1"/>
            </w:tcBorders>
            <w:shd w:fill="EFEFEF" w:val="clear"/>
            <w:tcMar>
              <w:top w:type="dxa" w:w="70"/>
              <w:left w:type="dxa" w:w="110"/>
              <w:bottom w:type="dxa" w:w="70"/>
              <w:right w:type="dxa" w:w="110"/>
            </w:tcMar>
          </w:tcPr>
          <w:p>
            <w:pPr>
              <w:jc w:val="left"/>
            </w:pPr>
            <w:r>
              <w:rPr>
                <w:b w:val="false"/>
                <w:bCs w:val="false"/>
              </w:rPr>
              <w:t xml:space="preserve">Time-to-disengagement (survival) + sequence model</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bCs/>
              </w:rPr>
              <w:t xml:space="preserve">Part (a) preferences</w:t>
            </w:r>
          </w:p>
        </w:tc>
        <w:tc>
          <w:tcPr>
            <w:tcW w:type="dxa" w:w="31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val="false"/>
                <w:bCs w:val="false"/>
              </w:rPr>
              <w:t xml:space="preserve">Descriptive stats only</w:t>
            </w:r>
          </w:p>
        </w:tc>
        <w:tc>
          <w:tcPr>
            <w:tcW w:type="dxa" w:w="31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val="false"/>
                <w:bCs w:val="false"/>
              </w:rPr>
              <w:t xml:space="preserve">Behavioural segmentation + content-taste embeddings</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bCs/>
              </w:rPr>
              <w:t xml:space="preserve">Part (c) recommender</w:t>
            </w:r>
          </w:p>
        </w:tc>
        <w:tc>
          <w:tcPr>
            <w:tcW w:type="dxa" w:w="3180"/>
            <w:tcBorders>
              <w:top w:val="single" w:color="BBBBBB" w:sz="1"/>
              <w:left w:val="single" w:color="BBBBBB" w:sz="1"/>
              <w:bottom w:val="single" w:color="BBBBBB" w:sz="1"/>
              <w:right w:val="single" w:color="BBBBBB" w:sz="1"/>
            </w:tcBorders>
            <w:shd w:fill="EFEFEF" w:val="clear"/>
            <w:tcMar>
              <w:top w:type="dxa" w:w="70"/>
              <w:left w:type="dxa" w:w="110"/>
              <w:bottom w:type="dxa" w:w="70"/>
              <w:right w:type="dxa" w:w="110"/>
            </w:tcMar>
          </w:tcPr>
          <w:p>
            <w:pPr>
              <w:jc w:val="left"/>
            </w:pPr>
            <w:r>
              <w:rPr>
                <w:b w:val="false"/>
                <w:bCs w:val="false"/>
              </w:rPr>
              <w:t xml:space="preserve">Cold-start similarity matching</w:t>
            </w:r>
          </w:p>
        </w:tc>
        <w:tc>
          <w:tcPr>
            <w:tcW w:type="dxa" w:w="3180"/>
            <w:tcBorders>
              <w:top w:val="single" w:color="BBBBBB" w:sz="1"/>
              <w:left w:val="single" w:color="BBBBBB" w:sz="1"/>
              <w:bottom w:val="single" w:color="BBBBBB" w:sz="1"/>
              <w:right w:val="single" w:color="BBBBBB" w:sz="1"/>
            </w:tcBorders>
            <w:shd w:fill="EFEFEF" w:val="clear"/>
            <w:tcMar>
              <w:top w:type="dxa" w:w="70"/>
              <w:left w:type="dxa" w:w="110"/>
              <w:bottom w:type="dxa" w:w="70"/>
              <w:right w:type="dxa" w:w="110"/>
            </w:tcMar>
          </w:tcPr>
          <w:p>
            <w:pPr>
              <w:jc w:val="left"/>
            </w:pPr>
            <w:r>
              <w:rPr>
                <w:b w:val="false"/>
                <w:bCs w:val="false"/>
              </w:rPr>
              <w:t xml:space="preserve">Causal uplift targeting + activeness-optimized ranking</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bCs/>
              </w:rPr>
              <w:t xml:space="preserve">Core question for (c)</w:t>
            </w:r>
          </w:p>
        </w:tc>
        <w:tc>
          <w:tcPr>
            <w:tcW w:type="dxa" w:w="31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val="false"/>
                <w:bCs w:val="false"/>
              </w:rPr>
              <w:t xml:space="preserve">Who is similar / what is relevant?</w:t>
            </w:r>
          </w:p>
        </w:tc>
        <w:tc>
          <w:tcPr>
            <w:tcW w:type="dxa" w:w="31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val="false"/>
                <w:bCs w:val="false"/>
              </w:rPr>
              <w:t xml:space="preserve">Who can be made active, and by what?</w:t>
            </w:r>
          </w:p>
        </w:tc>
      </w:tr>
    </w:tbl>
    <w:p>
      <w:pPr>
        <w:spacing w:after="140" w:line="276"/>
      </w:pPr>
      <w:r>
        <w:t xml:space="preserve">Note that even our Part (b) work, which is the most-covered area, uses methods (sequential deep learning, survival analysis) that the prior thesis explicitly did not — so overlap is method-deep, not just topic-deep.</w:t>
      </w:r>
    </w:p>
    <w:p>
      <w:pPr>
        <w:pStyle w:val="Heading1"/>
      </w:pPr>
      <w:r>
        <w:t xml:space="preserve">4. The Dataset: What You Are Actually Holding</w:t>
      </w:r>
    </w:p>
    <w:p>
      <w:pPr>
        <w:spacing w:after="140" w:line="276"/>
      </w:pPr>
      <w:r>
        <w:t xml:space="preserve">Six CSV tables, one month of activity (Nov 1–30, 2019) from NCM's “cloud village” discovery feed, covering a random 5% sample of 2,085,533 users. The figures below are confirmed from the delivered files, not just the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500"/>
        <w:gridCol w:w="2960"/>
      </w:tblGrid>
      <w:tr>
        <w:tc>
          <w:tcPr>
            <w:tcW w:type="dxa" w:w="3200"/>
            <w:tcBorders>
              <w:top w:val="single" w:color="BBBBBB" w:sz="1"/>
              <w:left w:val="single" w:color="BBBBBB" w:sz="1"/>
              <w:bottom w:val="single" w:color="BBBBBB" w:sz="1"/>
              <w:right w:val="single" w:color="BBBBBB" w:sz="1"/>
            </w:tcBorders>
            <w:shd w:fill="2E5C8A" w:val="clear"/>
            <w:tcMar>
              <w:top w:type="dxa" w:w="70"/>
              <w:left w:type="dxa" w:w="110"/>
              <w:bottom w:type="dxa" w:w="70"/>
              <w:right w:type="dxa" w:w="110"/>
            </w:tcMar>
          </w:tcPr>
          <w:p>
            <w:pPr>
              <w:jc w:val="left"/>
            </w:pPr>
            <w:r>
              <w:rPr>
                <w:b/>
                <w:bCs/>
                <w:color w:val="FFFFFF"/>
              </w:rPr>
              <w:t xml:space="preserve">Table</w:t>
            </w:r>
          </w:p>
        </w:tc>
        <w:tc>
          <w:tcPr>
            <w:tcW w:type="dxa" w:w="1700"/>
            <w:tcBorders>
              <w:top w:val="single" w:color="BBBBBB" w:sz="1"/>
              <w:left w:val="single" w:color="BBBBBB" w:sz="1"/>
              <w:bottom w:val="single" w:color="BBBBBB" w:sz="1"/>
              <w:right w:val="single" w:color="BBBBBB" w:sz="1"/>
            </w:tcBorders>
            <w:shd w:fill="2E5C8A" w:val="clear"/>
            <w:tcMar>
              <w:top w:type="dxa" w:w="70"/>
              <w:left w:type="dxa" w:w="110"/>
              <w:bottom w:type="dxa" w:w="70"/>
              <w:right w:type="dxa" w:w="110"/>
            </w:tcMar>
          </w:tcPr>
          <w:p>
            <w:pPr>
              <w:jc w:val="left"/>
            </w:pPr>
            <w:r>
              <w:rPr>
                <w:b/>
                <w:bCs/>
                <w:color w:val="FFFFFF"/>
              </w:rPr>
              <w:t xml:space="preserve">Rows</w:t>
            </w:r>
          </w:p>
        </w:tc>
        <w:tc>
          <w:tcPr>
            <w:tcW w:type="dxa" w:w="1500"/>
            <w:tcBorders>
              <w:top w:val="single" w:color="BBBBBB" w:sz="1"/>
              <w:left w:val="single" w:color="BBBBBB" w:sz="1"/>
              <w:bottom w:val="single" w:color="BBBBBB" w:sz="1"/>
              <w:right w:val="single" w:color="BBBBBB" w:sz="1"/>
            </w:tcBorders>
            <w:shd w:fill="2E5C8A" w:val="clear"/>
            <w:tcMar>
              <w:top w:type="dxa" w:w="70"/>
              <w:left w:type="dxa" w:w="110"/>
              <w:bottom w:type="dxa" w:w="70"/>
              <w:right w:type="dxa" w:w="110"/>
            </w:tcMar>
          </w:tcPr>
          <w:p>
            <w:pPr>
              <w:jc w:val="left"/>
            </w:pPr>
            <w:r>
              <w:rPr>
                <w:b/>
                <w:bCs/>
                <w:color w:val="FFFFFF"/>
              </w:rPr>
              <w:t xml:space="preserve">Size (CSV)</w:t>
            </w:r>
          </w:p>
        </w:tc>
        <w:tc>
          <w:tcPr>
            <w:tcW w:type="dxa" w:w="2960"/>
            <w:tcBorders>
              <w:top w:val="single" w:color="BBBBBB" w:sz="1"/>
              <w:left w:val="single" w:color="BBBBBB" w:sz="1"/>
              <w:bottom w:val="single" w:color="BBBBBB" w:sz="1"/>
              <w:right w:val="single" w:color="BBBBBB" w:sz="1"/>
            </w:tcBorders>
            <w:shd w:fill="2E5C8A" w:val="clear"/>
            <w:tcMar>
              <w:top w:type="dxa" w:w="70"/>
              <w:left w:type="dxa" w:w="110"/>
              <w:bottom w:type="dxa" w:w="70"/>
              <w:right w:type="dxa" w:w="110"/>
            </w:tcMar>
          </w:tcPr>
          <w:p>
            <w:pPr>
              <w:jc w:val="left"/>
            </w:pPr>
            <w:r>
              <w:rPr>
                <w:b/>
                <w:bCs/>
                <w:color w:val="FFFFFF"/>
              </w:rPr>
              <w:t xml:space="preserve">Grain</w:t>
            </w:r>
          </w:p>
        </w:tc>
      </w:tr>
      <w:tr>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bCs/>
              </w:rPr>
              <w:t xml:space="preserve">impression_data.csv</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right"/>
            </w:pPr>
            <w:r>
              <w:rPr>
                <w:b w:val="false"/>
                <w:bCs w:val="false"/>
              </w:rPr>
              <w:t xml:space="preserve">57,750,395</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right"/>
            </w:pPr>
            <w:r>
              <w:rPr>
                <w:b w:val="false"/>
                <w:bCs w:val="false"/>
              </w:rPr>
              <w:t xml:space="preserve">6.3 GB</w:t>
            </w:r>
          </w:p>
        </w:tc>
        <w:tc>
          <w:tcPr>
            <w:tcW w:type="dxa" w:w="2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val="false"/>
                <w:bCs w:val="false"/>
              </w:rPr>
              <w:t xml:space="preserve">user × card × time (impression)</w:t>
            </w:r>
          </w:p>
        </w:tc>
      </w:tr>
      <w:tr>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val="false"/>
                <w:bCs w:val="false"/>
              </w:rPr>
              <w:t xml:space="preserve">mlog_stats.csv</w:t>
            </w:r>
          </w:p>
        </w:tc>
        <w:tc>
          <w:tcPr>
            <w:tcW w:type="dxa" w:w="1700"/>
            <w:tcBorders>
              <w:top w:val="single" w:color="BBBBBB" w:sz="1"/>
              <w:left w:val="single" w:color="BBBBBB" w:sz="1"/>
              <w:bottom w:val="single" w:color="BBBBBB" w:sz="1"/>
              <w:right w:val="single" w:color="BBBBBB" w:sz="1"/>
            </w:tcBorders>
            <w:shd w:fill="EFEFEF" w:val="clear"/>
            <w:tcMar>
              <w:top w:type="dxa" w:w="70"/>
              <w:left w:type="dxa" w:w="110"/>
              <w:bottom w:type="dxa" w:w="70"/>
              <w:right w:type="dxa" w:w="110"/>
            </w:tcMar>
          </w:tcPr>
          <w:p>
            <w:pPr>
              <w:jc w:val="right"/>
            </w:pPr>
            <w:r>
              <w:rPr>
                <w:b w:val="false"/>
                <w:bCs w:val="false"/>
              </w:rPr>
              <w:t xml:space="preserve">4,191,677</w:t>
            </w:r>
          </w:p>
        </w:tc>
        <w:tc>
          <w:tcPr>
            <w:tcW w:type="dxa" w:w="1500"/>
            <w:tcBorders>
              <w:top w:val="single" w:color="BBBBBB" w:sz="1"/>
              <w:left w:val="single" w:color="BBBBBB" w:sz="1"/>
              <w:bottom w:val="single" w:color="BBBBBB" w:sz="1"/>
              <w:right w:val="single" w:color="BBBBBB" w:sz="1"/>
            </w:tcBorders>
            <w:shd w:fill="EFEFEF" w:val="clear"/>
            <w:tcMar>
              <w:top w:type="dxa" w:w="70"/>
              <w:left w:type="dxa" w:w="110"/>
              <w:bottom w:type="dxa" w:w="70"/>
              <w:right w:type="dxa" w:w="110"/>
            </w:tcMar>
          </w:tcPr>
          <w:p>
            <w:pPr>
              <w:jc w:val="right"/>
            </w:pPr>
            <w:r>
              <w:rPr>
                <w:b w:val="false"/>
                <w:bCs w:val="false"/>
              </w:rPr>
              <w:t xml:space="preserve">144 MB</w:t>
            </w:r>
          </w:p>
        </w:tc>
        <w:tc>
          <w:tcPr>
            <w:tcW w:type="dxa" w:w="2960"/>
            <w:tcBorders>
              <w:top w:val="single" w:color="BBBBBB" w:sz="1"/>
              <w:left w:val="single" w:color="BBBBBB" w:sz="1"/>
              <w:bottom w:val="single" w:color="BBBBBB" w:sz="1"/>
              <w:right w:val="single" w:color="BBBBBB" w:sz="1"/>
            </w:tcBorders>
            <w:shd w:fill="EFEFEF" w:val="clear"/>
            <w:tcMar>
              <w:top w:type="dxa" w:w="70"/>
              <w:left w:type="dxa" w:w="110"/>
              <w:bottom w:type="dxa" w:w="70"/>
              <w:right w:type="dxa" w:w="110"/>
            </w:tcMar>
          </w:tcPr>
          <w:p>
            <w:pPr>
              <w:jc w:val="left"/>
            </w:pPr>
            <w:r>
              <w:rPr>
                <w:b w:val="false"/>
                <w:bCs w:val="false"/>
              </w:rPr>
              <w:t xml:space="preserve">card × day</w:t>
            </w:r>
          </w:p>
        </w:tc>
      </w:tr>
      <w:tr>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val="false"/>
                <w:bCs w:val="false"/>
              </w:rPr>
              <w:t xml:space="preserve">user_demographics.csv</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right"/>
            </w:pPr>
            <w:r>
              <w:rPr>
                <w:b w:val="false"/>
                <w:bCs w:val="false"/>
              </w:rPr>
              <w:t xml:space="preserve">2,085,533</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right"/>
            </w:pPr>
            <w:r>
              <w:rPr>
                <w:b w:val="false"/>
                <w:bCs w:val="false"/>
              </w:rPr>
              <w:t xml:space="preserve">88 MB</w:t>
            </w:r>
          </w:p>
        </w:tc>
        <w:tc>
          <w:tcPr>
            <w:tcW w:type="dxa" w:w="2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val="false"/>
                <w:bCs w:val="false"/>
              </w:rPr>
              <w:t xml:space="preserve">user</w:t>
            </w:r>
          </w:p>
        </w:tc>
      </w:tr>
      <w:tr>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val="false"/>
                <w:bCs w:val="false"/>
              </w:rPr>
              <w:t xml:space="preserve">creator_stats.csv</w:t>
            </w:r>
          </w:p>
        </w:tc>
        <w:tc>
          <w:tcPr>
            <w:tcW w:type="dxa" w:w="1700"/>
            <w:tcBorders>
              <w:top w:val="single" w:color="BBBBBB" w:sz="1"/>
              <w:left w:val="single" w:color="BBBBBB" w:sz="1"/>
              <w:bottom w:val="single" w:color="BBBBBB" w:sz="1"/>
              <w:right w:val="single" w:color="BBBBBB" w:sz="1"/>
            </w:tcBorders>
            <w:shd w:fill="EFEFEF" w:val="clear"/>
            <w:tcMar>
              <w:top w:type="dxa" w:w="70"/>
              <w:left w:type="dxa" w:w="110"/>
              <w:bottom w:type="dxa" w:w="70"/>
              <w:right w:type="dxa" w:w="110"/>
            </w:tcMar>
          </w:tcPr>
          <w:p>
            <w:pPr>
              <w:jc w:val="right"/>
            </w:pPr>
            <w:r>
              <w:rPr>
                <w:b w:val="false"/>
                <w:bCs w:val="false"/>
              </w:rPr>
              <w:t xml:space="preserve">2,572,512</w:t>
            </w:r>
          </w:p>
        </w:tc>
        <w:tc>
          <w:tcPr>
            <w:tcW w:type="dxa" w:w="1500"/>
            <w:tcBorders>
              <w:top w:val="single" w:color="BBBBBB" w:sz="1"/>
              <w:left w:val="single" w:color="BBBBBB" w:sz="1"/>
              <w:bottom w:val="single" w:color="BBBBBB" w:sz="1"/>
              <w:right w:val="single" w:color="BBBBBB" w:sz="1"/>
            </w:tcBorders>
            <w:shd w:fill="EFEFEF" w:val="clear"/>
            <w:tcMar>
              <w:top w:type="dxa" w:w="70"/>
              <w:left w:type="dxa" w:w="110"/>
              <w:bottom w:type="dxa" w:w="70"/>
              <w:right w:type="dxa" w:w="110"/>
            </w:tcMar>
          </w:tcPr>
          <w:p>
            <w:pPr>
              <w:jc w:val="right"/>
            </w:pPr>
            <w:r>
              <w:rPr>
                <w:b w:val="false"/>
                <w:bCs w:val="false"/>
              </w:rPr>
              <w:t xml:space="preserve">70 MB</w:t>
            </w:r>
          </w:p>
        </w:tc>
        <w:tc>
          <w:tcPr>
            <w:tcW w:type="dxa" w:w="2960"/>
            <w:tcBorders>
              <w:top w:val="single" w:color="BBBBBB" w:sz="1"/>
              <w:left w:val="single" w:color="BBBBBB" w:sz="1"/>
              <w:bottom w:val="single" w:color="BBBBBB" w:sz="1"/>
              <w:right w:val="single" w:color="BBBBBB" w:sz="1"/>
            </w:tcBorders>
            <w:shd w:fill="EFEFEF" w:val="clear"/>
            <w:tcMar>
              <w:top w:type="dxa" w:w="70"/>
              <w:left w:type="dxa" w:w="110"/>
              <w:bottom w:type="dxa" w:w="70"/>
              <w:right w:type="dxa" w:w="110"/>
            </w:tcMar>
          </w:tcPr>
          <w:p>
            <w:pPr>
              <w:jc w:val="left"/>
            </w:pPr>
            <w:r>
              <w:rPr>
                <w:b w:val="false"/>
                <w:bCs w:val="false"/>
              </w:rPr>
              <w:t xml:space="preserve">creator × day</w:t>
            </w:r>
          </w:p>
        </w:tc>
      </w:tr>
      <w:tr>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val="false"/>
                <w:bCs w:val="false"/>
              </w:rPr>
              <w:t xml:space="preserve">mlog_demographics.csv</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right"/>
            </w:pPr>
            <w:r>
              <w:rPr>
                <w:b w:val="false"/>
                <w:bCs w:val="false"/>
              </w:rPr>
              <w:t xml:space="preserve">252,955</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right"/>
            </w:pPr>
            <w:r>
              <w:rPr>
                <w:b w:val="false"/>
                <w:bCs w:val="false"/>
              </w:rPr>
              <w:t xml:space="preserve">24 MB</w:t>
            </w:r>
          </w:p>
        </w:tc>
        <w:tc>
          <w:tcPr>
            <w:tcW w:type="dxa" w:w="2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val="false"/>
                <w:bCs w:val="false"/>
              </w:rPr>
              <w:t xml:space="preserve">card</w:t>
            </w:r>
          </w:p>
        </w:tc>
      </w:tr>
      <w:tr>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val="false"/>
                <w:bCs w:val="false"/>
              </w:rPr>
              <w:t xml:space="preserve">creator_demographics.csv</w:t>
            </w:r>
          </w:p>
        </w:tc>
        <w:tc>
          <w:tcPr>
            <w:tcW w:type="dxa" w:w="1700"/>
            <w:tcBorders>
              <w:top w:val="single" w:color="BBBBBB" w:sz="1"/>
              <w:left w:val="single" w:color="BBBBBB" w:sz="1"/>
              <w:bottom w:val="single" w:color="BBBBBB" w:sz="1"/>
              <w:right w:val="single" w:color="BBBBBB" w:sz="1"/>
            </w:tcBorders>
            <w:shd w:fill="EFEFEF" w:val="clear"/>
            <w:tcMar>
              <w:top w:type="dxa" w:w="70"/>
              <w:left w:type="dxa" w:w="110"/>
              <w:bottom w:type="dxa" w:w="70"/>
              <w:right w:type="dxa" w:w="110"/>
            </w:tcMar>
          </w:tcPr>
          <w:p>
            <w:pPr>
              <w:jc w:val="right"/>
            </w:pPr>
            <w:r>
              <w:rPr>
                <w:b w:val="false"/>
                <w:bCs w:val="false"/>
              </w:rPr>
              <w:t xml:space="preserve">90,534</w:t>
            </w:r>
          </w:p>
        </w:tc>
        <w:tc>
          <w:tcPr>
            <w:tcW w:type="dxa" w:w="1500"/>
            <w:tcBorders>
              <w:top w:val="single" w:color="BBBBBB" w:sz="1"/>
              <w:left w:val="single" w:color="BBBBBB" w:sz="1"/>
              <w:bottom w:val="single" w:color="BBBBBB" w:sz="1"/>
              <w:right w:val="single" w:color="BBBBBB" w:sz="1"/>
            </w:tcBorders>
            <w:shd w:fill="EFEFEF" w:val="clear"/>
            <w:tcMar>
              <w:top w:type="dxa" w:w="70"/>
              <w:left w:type="dxa" w:w="110"/>
              <w:bottom w:type="dxa" w:w="70"/>
              <w:right w:type="dxa" w:w="110"/>
            </w:tcMar>
          </w:tcPr>
          <w:p>
            <w:pPr>
              <w:jc w:val="right"/>
            </w:pPr>
            <w:r>
              <w:rPr>
                <w:b w:val="false"/>
                <w:bCs w:val="false"/>
              </w:rPr>
              <w:t xml:space="preserve">3.7 MB</w:t>
            </w:r>
          </w:p>
        </w:tc>
        <w:tc>
          <w:tcPr>
            <w:tcW w:type="dxa" w:w="2960"/>
            <w:tcBorders>
              <w:top w:val="single" w:color="BBBBBB" w:sz="1"/>
              <w:left w:val="single" w:color="BBBBBB" w:sz="1"/>
              <w:bottom w:val="single" w:color="BBBBBB" w:sz="1"/>
              <w:right w:val="single" w:color="BBBBBB" w:sz="1"/>
            </w:tcBorders>
            <w:shd w:fill="EFEFEF" w:val="clear"/>
            <w:tcMar>
              <w:top w:type="dxa" w:w="70"/>
              <w:left w:type="dxa" w:w="110"/>
              <w:bottom w:type="dxa" w:w="70"/>
              <w:right w:type="dxa" w:w="110"/>
            </w:tcMar>
          </w:tcPr>
          <w:p>
            <w:pPr>
              <w:jc w:val="left"/>
            </w:pPr>
            <w:r>
              <w:rPr>
                <w:b w:val="false"/>
                <w:bCs w:val="false"/>
              </w:rPr>
              <w:t xml:space="preserve">creator</w:t>
            </w:r>
          </w:p>
        </w:tc>
      </w:tr>
    </w:tbl>
    <w:p>
      <w:pPr>
        <w:spacing w:after="140" w:line="276"/>
      </w:pPr>
      <w:r>
        <w:t xml:space="preserve">The single dominant fact for planning: </w:t>
      </w:r>
      <w:r>
        <w:rPr>
          <w:b/>
          <w:bCs/>
        </w:rPr>
        <w:t xml:space="preserve">impression_data.csv is 6.3 GB / 57.75M rows</w:t>
      </w:r>
      <w:r>
        <w:t xml:space="preserve">. It will not load into pandas on a normal laptop. Everything else is small once the impression table is aggregated to user level. The compute strategy in Section 5 is built around this.</w:t>
      </w:r>
    </w:p>
    <w:p>
      <w:pPr>
        <w:pStyle w:val="Heading2"/>
      </w:pPr>
      <w:r>
        <w:t xml:space="preserve">4.1 Fields you will lean on</w:t>
      </w:r>
    </w:p>
    <w:p>
      <w:pPr>
        <w:pStyle w:val="ListParagraph"/>
        <w:numPr>
          <w:ilvl w:val="0"/>
          <w:numId w:val="2"/>
        </w:numPr>
        <w:spacing w:after="60" w:line="264"/>
      </w:pPr>
      <w:r>
        <w:rPr>
          <w:b/>
          <w:bCs/>
        </w:rPr>
        <w:t xml:space="preserve">Impression table: </w:t>
      </w:r>
      <w:r>
        <w:t xml:space="preserve">isClick, isLike, isShare, isComment, isViewComment, isIntoPersonalHomepage (binary actions); mlogViewTime (dwell seconds, populated only on clicks); impressTime (epoch ms); impressPosition (feed slot); dt (day 0–29); detailMlogInfoList (JSON of swipe-down cards).</w:t>
      </w:r>
    </w:p>
    <w:p>
      <w:pPr>
        <w:pStyle w:val="ListParagraph"/>
        <w:numPr>
          <w:ilvl w:val="0"/>
          <w:numId w:val="2"/>
        </w:numPr>
        <w:spacing w:after="60" w:line="264"/>
      </w:pPr>
      <w:r>
        <w:rPr>
          <w:b/>
          <w:bCs/>
        </w:rPr>
        <w:t xml:space="preserve">Card table: </w:t>
      </w:r>
      <w:r>
        <w:t xml:space="preserve">type (1 = image card, 2 = music video), contentId (122 content categories, can be multi-valued), talkId (9,914 hashtag/topic levels), songId / artistId / creatorId, publishTime.</w:t>
      </w:r>
    </w:p>
    <w:p>
      <w:pPr>
        <w:pStyle w:val="ListParagraph"/>
        <w:numPr>
          <w:ilvl w:val="0"/>
          <w:numId w:val="2"/>
        </w:numPr>
        <w:spacing w:after="60" w:line="264"/>
      </w:pPr>
      <w:r>
        <w:rPr>
          <w:b/>
          <w:bCs/>
        </w:rPr>
        <w:t xml:space="preserve">User table: </w:t>
      </w:r>
      <w:r>
        <w:t xml:space="preserve">province, age, gender, registeredMonthCnt (tenure), followCnt, and a pre-computed level (0–10 activity intensity).</w:t>
      </w:r>
    </w:p>
    <w:p>
      <w:pPr>
        <w:pStyle w:val="Heading2"/>
      </w:pPr>
      <w:r>
        <w:t xml:space="preserve">4.2 Gotchas confirmed in the raw data — read before modelling</w:t>
      </w:r>
    </w:p>
    <w:p>
      <w:pPr>
        <w:pStyle w:val="ListParagraph"/>
        <w:numPr>
          <w:ilvl w:val="0"/>
          <w:numId w:val="3"/>
        </w:numPr>
        <w:spacing w:after="60" w:line="264"/>
      </w:pPr>
      <w:r>
        <w:rPr>
          <w:b/>
          <w:bCs/>
        </w:rPr>
        <w:t xml:space="preserve">True event order exists. </w:t>
      </w:r>
      <w:r>
        <w:t xml:space="preserve">impressTime (ms) plus impressPosition give a genuine within-user sequence. This is exactly what makes the sequential and survival approaches possible — and what the prior thesis threw away.</w:t>
      </w:r>
    </w:p>
    <w:p>
      <w:pPr>
        <w:pStyle w:val="ListParagraph"/>
        <w:numPr>
          <w:ilvl w:val="0"/>
          <w:numId w:val="3"/>
        </w:numPr>
        <w:spacing w:after="60" w:line="264"/>
      </w:pPr>
      <w:r>
        <w:rPr>
          <w:b/>
          <w:bCs/>
        </w:rPr>
        <w:t xml:space="preserve">mlogViewTime and detailMlogInfoList are “NA” on non-click rows. </w:t>
      </w:r>
      <w:r>
        <w:t xml:space="preserve">Dwell time is only defined after a click. Treat missingness as structural, not random.</w:t>
      </w:r>
    </w:p>
    <w:p>
      <w:pPr>
        <w:pStyle w:val="ListParagraph"/>
        <w:numPr>
          <w:ilvl w:val="0"/>
          <w:numId w:val="3"/>
        </w:numPr>
        <w:spacing w:after="60" w:line="264"/>
      </w:pPr>
      <w:r>
        <w:rPr>
          <w:b/>
          <w:bCs/>
        </w:rPr>
        <w:t xml:space="preserve">Do not use the user-table level field as a predictor. </w:t>
      </w:r>
      <w:r>
        <w:t xml:space="preserve">It is an activity-intensity score measured up to Dec 1, 2019 — i.e., it can encode the very outcome you are predicting. Use it only as an alternative label or as external validation, never as an early-window feature. This is the most likely source of silent label leakage.</w:t>
      </w:r>
    </w:p>
    <w:p>
      <w:pPr>
        <w:pStyle w:val="ListParagraph"/>
        <w:numPr>
          <w:ilvl w:val="0"/>
          <w:numId w:val="3"/>
        </w:numPr>
        <w:spacing w:after="60" w:line="264"/>
      </w:pPr>
      <w:r>
        <w:rPr>
          <w:b/>
          <w:bCs/>
        </w:rPr>
        <w:t xml:space="preserve">mlog_stats counts all platform users, not just the 5% sample. </w:t>
      </w:r>
      <w:r>
        <w:t xml:space="preserve">Great for card popularity/exposure features; wrong if mistaken for your sample's behaviour.</w:t>
      </w:r>
    </w:p>
    <w:p>
      <w:pPr>
        <w:pStyle w:val="ListParagraph"/>
        <w:numPr>
          <w:ilvl w:val="0"/>
          <w:numId w:val="3"/>
        </w:numPr>
        <w:spacing w:after="60" w:line="264"/>
      </w:pPr>
      <w:r>
        <w:rPr>
          <w:b/>
          <w:bCs/>
        </w:rPr>
        <w:t xml:space="preserve">No song genre. </w:t>
      </w:r>
      <w:r>
        <w:t xml:space="preserve">Genre was anonymized away. Use contentId / talkId / artistId as content-taste proxies instead.</w:t>
      </w:r>
    </w:p>
    <w:p>
      <w:pPr>
        <w:pStyle w:val="ListParagraph"/>
        <w:numPr>
          <w:ilvl w:val="0"/>
          <w:numId w:val="3"/>
        </w:numPr>
        <w:spacing w:after="60" w:line="264"/>
      </w:pPr>
      <w:r>
        <w:rPr>
          <w:b/>
          <w:bCs/>
        </w:rPr>
        <w:t xml:space="preserve">Total app usage is not recoverable. </w:t>
      </w:r>
      <w:r>
        <w:t xml:space="preserve">Watch time covers only this tab, so absolute engagement time cannot be imputed — frame activeness in relative, click-based terms as NCM itself does.</w:t>
      </w:r>
    </w:p>
    <w:p>
      <w:pPr>
        <w:pStyle w:val="Heading1"/>
      </w:pPr>
      <w:r>
        <w:t xml:space="preserve">5. The Shared Foundation (Everyone Depends On This)</w:t>
      </w:r>
    </w:p>
    <w:p>
      <w:pPr>
        <w:spacing w:after="140" w:line="276"/>
      </w:pPr>
      <w:r>
        <w:t xml:space="preserve">The four or five individual algorithms must sit on one common data pipeline and one common set of label definitions. If members each re-parse 6.3 GB their own way, results will not be comparable and the team grade — which depends on overall coherence — suffers. Build this first, in weeks 1–3, before anyone trains a model.</w:t>
      </w:r>
    </w:p>
    <w:p>
      <w:pPr>
        <w:pStyle w:val="Heading2"/>
      </w:pPr>
      <w:r>
        <w:t xml:space="preserve">5.1 Compute strategy for the 6.3 GB file</w:t>
      </w:r>
    </w:p>
    <w:p>
      <w:pPr>
        <w:pStyle w:val="ListParagraph"/>
        <w:numPr>
          <w:ilvl w:val="0"/>
          <w:numId w:val="4"/>
        </w:numPr>
        <w:spacing w:after="60" w:line="264"/>
      </w:pPr>
      <w:r>
        <w:rPr>
          <w:b/>
          <w:bCs/>
        </w:rPr>
        <w:t xml:space="preserve">Convert once to Parquet, partitioned by dt. </w:t>
      </w:r>
      <w:r>
        <w:t xml:space="preserve">Use DuckDB or Polars to stream the CSV and write columnar Parquet (expect roughly 1–2 GB). All downstream reads become fast and out-of-core. This is a one-time cost paid by one person for the whole team.</w:t>
      </w:r>
    </w:p>
    <w:p>
      <w:pPr>
        <w:pStyle w:val="ListParagraph"/>
        <w:numPr>
          <w:ilvl w:val="0"/>
          <w:numId w:val="4"/>
        </w:numPr>
        <w:spacing w:after="60" w:line="264"/>
      </w:pPr>
      <w:r>
        <w:rPr>
          <w:b/>
          <w:bCs/>
        </w:rPr>
        <w:t xml:space="preserve">Aggregate to a user-level feature table. </w:t>
      </w:r>
      <w:r>
        <w:t xml:space="preserve">Group the impressions to per-user, per-window summaries. The result is ~2M rows and fits comfortably in memory — this is what the tabular and segmentation work uses.</w:t>
      </w:r>
    </w:p>
    <w:p>
      <w:pPr>
        <w:pStyle w:val="ListParagraph"/>
        <w:numPr>
          <w:ilvl w:val="0"/>
          <w:numId w:val="4"/>
        </w:numPr>
        <w:spacing w:after="60" w:line="264"/>
      </w:pPr>
      <w:r>
        <w:rPr>
          <w:b/>
          <w:bCs/>
        </w:rPr>
        <w:t xml:space="preserve">For sequence and graph models, sample users. </w:t>
      </w:r>
      <w:r>
        <w:t xml:space="preserve">Draw a stratified sample (e.g., 100k–300k users, balanced across activity levels) and materialize their full ordered event sequences. Keeps tensors tractable on a single GPU/Colab.</w:t>
      </w:r>
    </w:p>
    <w:p>
      <w:pPr>
        <w:pStyle w:val="ListParagraph"/>
        <w:numPr>
          <w:ilvl w:val="0"/>
          <w:numId w:val="4"/>
        </w:numPr>
        <w:spacing w:after="60" w:line="264"/>
      </w:pPr>
      <w:r>
        <w:rPr>
          <w:b/>
          <w:bCs/>
        </w:rPr>
        <w:t xml:space="preserve">Standardize storage. </w:t>
      </w:r>
      <w:r>
        <w:t xml:space="preserve">One shared folder/repo with the Parquet files, the user-feature table, and the sampled-sequence dataset, so every member trains on identical inputs.</w:t>
      </w:r>
    </w:p>
    <w:p>
      <w:pPr>
        <w:pStyle w:val="Heading2"/>
      </w:pPr>
      <w:r>
        <w:t xml:space="preserve">5.2 Label and window definitions (agree these once)</w:t>
      </w:r>
    </w:p>
    <w:p>
      <w:pPr>
        <w:spacing w:after="140" w:line="276"/>
      </w:pPr>
      <w:r>
        <w:rPr>
          <w:b/>
          <w:bCs/>
        </w:rPr>
        <w:t xml:space="preserve">Activeness label. </w:t>
      </w:r>
      <w:r>
        <w:t xml:space="preserve">Follow NCM's own definition: a user is inactive if her average click probability on recommended cards is zero or very low. Compute per-user mean(isClick) over the label window; set the inactive threshold at, e.g., the bottom quartile or near-zero, and pre-register 1–2 alternative thresholds for robustness (mirroring how Thesis 1 was checked).</w:t>
      </w:r>
    </w:p>
    <w:p>
      <w:pPr>
        <w:spacing w:after="140" w:line="276"/>
      </w:pPr>
      <w:r>
        <w:rPr>
          <w:b/>
          <w:bCs/>
        </w:rPr>
        <w:t xml:space="preserve">Temporal split to prevent leakage. </w:t>
      </w:r>
      <w:r>
        <w:t xml:space="preserve">Use an early window (e.g., days 0–6) to build features, and a later window (days 7–29) to define the label. Only users with impressions in the early window enter the study; document this survivorship explicitly.</w:t>
      </w:r>
    </w:p>
    <w:p>
      <w:pPr>
        <w:spacing w:after="140" w:line="276"/>
      </w:pPr>
      <w:r>
        <w:rPr>
          <w:b/>
          <w:bCs/>
        </w:rPr>
        <w:t xml:space="preserve">Shared evaluation users. </w:t>
      </w:r>
      <w:r>
        <w:t xml:space="preserve">One train/validation/test split, fixed by userId hash, reused by every model so numbers are directly comparable.</w:t>
      </w:r>
    </w:p>
    <w:p>
      <w:pPr>
        <w:pStyle w:val="Heading1"/>
      </w:pPr>
      <w:r>
        <w:t xml:space="preserve">6. The Committed Spine: Four (or Five) Sub-Projects</w:t>
      </w:r>
    </w:p>
    <w:p>
      <w:pPr>
        <w:spacing w:after="140" w:line="276"/>
      </w:pPr>
      <w:r>
        <w:t xml:space="preserve">Each member owns one algorithm and one chapter. Together they answer all three parts of Question 2, with the recommender side (Part c) carrying the most novelty. A fifth member, if present, takes Sub-Project E; with four members, E is folded into the group's outlook/future-work section.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50"/>
        <w:gridCol w:w="2550"/>
        <w:gridCol w:w="1600"/>
        <w:gridCol w:w="4000"/>
      </w:tblGrid>
      <w:tr>
        <w:tc>
          <w:tcPr>
            <w:tcW w:type="dxa" w:w="1150"/>
            <w:tcBorders>
              <w:top w:val="single" w:color="BBBBBB" w:sz="1"/>
              <w:left w:val="single" w:color="BBBBBB" w:sz="1"/>
              <w:bottom w:val="single" w:color="BBBBBB" w:sz="1"/>
              <w:right w:val="single" w:color="BBBBBB" w:sz="1"/>
            </w:tcBorders>
            <w:shd w:fill="2E5C8A" w:val="clear"/>
            <w:tcMar>
              <w:top w:type="dxa" w:w="70"/>
              <w:left w:type="dxa" w:w="110"/>
              <w:bottom w:type="dxa" w:w="70"/>
              <w:right w:type="dxa" w:w="110"/>
            </w:tcMar>
          </w:tcPr>
          <w:p>
            <w:pPr>
              <w:jc w:val="left"/>
            </w:pPr>
            <w:r>
              <w:rPr>
                <w:b/>
                <w:bCs/>
                <w:color w:val="FFFFFF"/>
              </w:rPr>
              <w:t xml:space="preserve">Member</w:t>
            </w:r>
          </w:p>
        </w:tc>
        <w:tc>
          <w:tcPr>
            <w:tcW w:type="dxa" w:w="2550"/>
            <w:tcBorders>
              <w:top w:val="single" w:color="BBBBBB" w:sz="1"/>
              <w:left w:val="single" w:color="BBBBBB" w:sz="1"/>
              <w:bottom w:val="single" w:color="BBBBBB" w:sz="1"/>
              <w:right w:val="single" w:color="BBBBBB" w:sz="1"/>
            </w:tcBorders>
            <w:shd w:fill="2E5C8A" w:val="clear"/>
            <w:tcMar>
              <w:top w:type="dxa" w:w="70"/>
              <w:left w:type="dxa" w:w="110"/>
              <w:bottom w:type="dxa" w:w="70"/>
              <w:right w:type="dxa" w:w="110"/>
            </w:tcMar>
          </w:tcPr>
          <w:p>
            <w:pPr>
              <w:jc w:val="left"/>
            </w:pPr>
            <w:r>
              <w:rPr>
                <w:b/>
                <w:bCs/>
                <w:color w:val="FFFFFF"/>
              </w:rPr>
              <w:t xml:space="preserve">Algorithm</w:t>
            </w:r>
          </w:p>
        </w:tc>
        <w:tc>
          <w:tcPr>
            <w:tcW w:type="dxa" w:w="1600"/>
            <w:tcBorders>
              <w:top w:val="single" w:color="BBBBBB" w:sz="1"/>
              <w:left w:val="single" w:color="BBBBBB" w:sz="1"/>
              <w:bottom w:val="single" w:color="BBBBBB" w:sz="1"/>
              <w:right w:val="single" w:color="BBBBBB" w:sz="1"/>
            </w:tcBorders>
            <w:shd w:fill="2E5C8A" w:val="clear"/>
            <w:tcMar>
              <w:top w:type="dxa" w:w="70"/>
              <w:left w:type="dxa" w:w="110"/>
              <w:bottom w:type="dxa" w:w="70"/>
              <w:right w:type="dxa" w:w="110"/>
            </w:tcMar>
          </w:tcPr>
          <w:p>
            <w:pPr>
              <w:jc w:val="left"/>
            </w:pPr>
            <w:r>
              <w:rPr>
                <w:b/>
                <w:bCs/>
                <w:color w:val="FFFFFF"/>
              </w:rPr>
              <w:t xml:space="preserve">Q2 part</w:t>
            </w:r>
          </w:p>
        </w:tc>
        <w:tc>
          <w:tcPr>
            <w:tcW w:type="dxa" w:w="4000"/>
            <w:tcBorders>
              <w:top w:val="single" w:color="BBBBBB" w:sz="1"/>
              <w:left w:val="single" w:color="BBBBBB" w:sz="1"/>
              <w:bottom w:val="single" w:color="BBBBBB" w:sz="1"/>
              <w:right w:val="single" w:color="BBBBBB" w:sz="1"/>
            </w:tcBorders>
            <w:shd w:fill="2E5C8A" w:val="clear"/>
            <w:tcMar>
              <w:top w:type="dxa" w:w="70"/>
              <w:left w:type="dxa" w:w="110"/>
              <w:bottom w:type="dxa" w:w="70"/>
              <w:right w:type="dxa" w:w="110"/>
            </w:tcMar>
          </w:tcPr>
          <w:p>
            <w:pPr>
              <w:jc w:val="left"/>
            </w:pPr>
            <w:r>
              <w:rPr>
                <w:b/>
                <w:bCs/>
                <w:color w:val="FFFFFF"/>
              </w:rPr>
              <w:t xml:space="preserve">One-line contribution</w:t>
            </w:r>
          </w:p>
        </w:tc>
      </w:tr>
      <w:tr>
        <w:tc>
          <w:tcPr>
            <w:tcW w:type="dxa" w:w="11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center"/>
            </w:pPr>
            <w:r>
              <w:rPr>
                <w:b/>
                <w:bCs/>
              </w:rPr>
              <w:t xml:space="preserve">A</w:t>
            </w:r>
          </w:p>
        </w:tc>
        <w:tc>
          <w:tcPr>
            <w:tcW w:type="dxa" w:w="25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val="false"/>
                <w:bCs w:val="false"/>
              </w:rPr>
              <w:t xml:space="preserve">Behavioural segmentation + content-taste embeddings</w:t>
            </w:r>
          </w:p>
        </w:tc>
        <w:tc>
          <w:tcPr>
            <w:tcW w:type="dxa" w:w="1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center"/>
            </w:pPr>
            <w:r>
              <w:rPr>
                <w:b w:val="false"/>
                <w:bCs w:val="false"/>
              </w:rPr>
              <w:t xml:space="preserve">(a)</w:t>
            </w:r>
          </w:p>
        </w:tc>
        <w:tc>
          <w:tcPr>
            <w:tcW w:type="dxa" w:w="4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val="false"/>
                <w:bCs w:val="false"/>
              </w:rPr>
              <w:t xml:space="preserve">Defines who active users are and what they like — beyond summary stats.</w:t>
            </w:r>
          </w:p>
        </w:tc>
      </w:tr>
      <w:tr>
        <w:tc>
          <w:tcPr>
            <w:tcW w:type="dxa" w:w="11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center"/>
            </w:pPr>
            <w:r>
              <w:rPr>
                <w:b/>
                <w:bCs/>
              </w:rPr>
              <w:t xml:space="preserve">B</w:t>
            </w:r>
          </w:p>
        </w:tc>
        <w:tc>
          <w:tcPr>
            <w:tcW w:type="dxa" w:w="2550"/>
            <w:tcBorders>
              <w:top w:val="single" w:color="BBBBBB" w:sz="1"/>
              <w:left w:val="single" w:color="BBBBBB" w:sz="1"/>
              <w:bottom w:val="single" w:color="BBBBBB" w:sz="1"/>
              <w:right w:val="single" w:color="BBBBBB" w:sz="1"/>
            </w:tcBorders>
            <w:shd w:fill="EFEFEF" w:val="clear"/>
            <w:tcMar>
              <w:top w:type="dxa" w:w="70"/>
              <w:left w:type="dxa" w:w="110"/>
              <w:bottom w:type="dxa" w:w="70"/>
              <w:right w:type="dxa" w:w="110"/>
            </w:tcMar>
          </w:tcPr>
          <w:p>
            <w:pPr>
              <w:jc w:val="left"/>
            </w:pPr>
            <w:r>
              <w:rPr>
                <w:b w:val="false"/>
                <w:bCs w:val="false"/>
              </w:rPr>
              <w:t xml:space="preserve">Sequential deep model (GRU / Transformer)</w:t>
            </w:r>
          </w:p>
        </w:tc>
        <w:tc>
          <w:tcPr>
            <w:tcW w:type="dxa" w:w="1600"/>
            <w:tcBorders>
              <w:top w:val="single" w:color="BBBBBB" w:sz="1"/>
              <w:left w:val="single" w:color="BBBBBB" w:sz="1"/>
              <w:bottom w:val="single" w:color="BBBBBB" w:sz="1"/>
              <w:right w:val="single" w:color="BBBBBB" w:sz="1"/>
            </w:tcBorders>
            <w:shd w:fill="EFEFEF" w:val="clear"/>
            <w:tcMar>
              <w:top w:type="dxa" w:w="70"/>
              <w:left w:type="dxa" w:w="110"/>
              <w:bottom w:type="dxa" w:w="70"/>
              <w:right w:type="dxa" w:w="110"/>
            </w:tcMar>
          </w:tcPr>
          <w:p>
            <w:pPr>
              <w:jc w:val="center"/>
            </w:pPr>
            <w:r>
              <w:rPr>
                <w:b w:val="false"/>
                <w:bCs w:val="false"/>
              </w:rPr>
              <w:t xml:space="preserve">(b)</w:t>
            </w:r>
          </w:p>
        </w:tc>
        <w:tc>
          <w:tcPr>
            <w:tcW w:type="dxa" w:w="4000"/>
            <w:tcBorders>
              <w:top w:val="single" w:color="BBBBBB" w:sz="1"/>
              <w:left w:val="single" w:color="BBBBBB" w:sz="1"/>
              <w:bottom w:val="single" w:color="BBBBBB" w:sz="1"/>
              <w:right w:val="single" w:color="BBBBBB" w:sz="1"/>
            </w:tcBorders>
            <w:shd w:fill="EFEFEF" w:val="clear"/>
            <w:tcMar>
              <w:top w:type="dxa" w:w="70"/>
              <w:left w:type="dxa" w:w="110"/>
              <w:bottom w:type="dxa" w:w="70"/>
              <w:right w:type="dxa" w:w="110"/>
            </w:tcMar>
          </w:tcPr>
          <w:p>
            <w:pPr>
              <w:jc w:val="left"/>
            </w:pPr>
            <w:r>
              <w:rPr>
                <w:b w:val="false"/>
                <w:bCs w:val="false"/>
              </w:rPr>
              <w:t xml:space="preserve">Predicts activeness from the ordered early-action stream.</w:t>
            </w:r>
          </w:p>
        </w:tc>
      </w:tr>
      <w:tr>
        <w:tc>
          <w:tcPr>
            <w:tcW w:type="dxa" w:w="11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center"/>
            </w:pPr>
            <w:r>
              <w:rPr>
                <w:b/>
                <w:bCs/>
              </w:rPr>
              <w:t xml:space="preserve">C</w:t>
            </w:r>
          </w:p>
        </w:tc>
        <w:tc>
          <w:tcPr>
            <w:tcW w:type="dxa" w:w="25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val="false"/>
                <w:bCs w:val="false"/>
              </w:rPr>
              <w:t xml:space="preserve">Survival / time-to-disengagement model</w:t>
            </w:r>
          </w:p>
        </w:tc>
        <w:tc>
          <w:tcPr>
            <w:tcW w:type="dxa" w:w="1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center"/>
            </w:pPr>
            <w:r>
              <w:rPr>
                <w:b w:val="false"/>
                <w:bCs w:val="false"/>
              </w:rPr>
              <w:t xml:space="preserve">(b reframed)</w:t>
            </w:r>
          </w:p>
        </w:tc>
        <w:tc>
          <w:tcPr>
            <w:tcW w:type="dxa" w:w="4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val="false"/>
                <w:bCs w:val="false"/>
              </w:rPr>
              <w:t xml:space="preserve">Predicts when a user goes inactive, with right-censoring at day 30.</w:t>
            </w:r>
          </w:p>
        </w:tc>
      </w:tr>
      <w:tr>
        <w:tc>
          <w:tcPr>
            <w:tcW w:type="dxa" w:w="11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center"/>
            </w:pPr>
            <w:r>
              <w:rPr>
                <w:b/>
                <w:bCs/>
              </w:rPr>
              <w:t xml:space="preserve">D</w:t>
            </w:r>
          </w:p>
        </w:tc>
        <w:tc>
          <w:tcPr>
            <w:tcW w:type="dxa" w:w="2550"/>
            <w:tcBorders>
              <w:top w:val="single" w:color="BBBBBB" w:sz="1"/>
              <w:left w:val="single" w:color="BBBBBB" w:sz="1"/>
              <w:bottom w:val="single" w:color="BBBBBB" w:sz="1"/>
              <w:right w:val="single" w:color="BBBBBB" w:sz="1"/>
            </w:tcBorders>
            <w:shd w:fill="EFEFEF" w:val="clear"/>
            <w:tcMar>
              <w:top w:type="dxa" w:w="70"/>
              <w:left w:type="dxa" w:w="110"/>
              <w:bottom w:type="dxa" w:w="70"/>
              <w:right w:type="dxa" w:w="110"/>
            </w:tcMar>
          </w:tcPr>
          <w:p>
            <w:pPr>
              <w:jc w:val="left"/>
            </w:pPr>
            <w:r>
              <w:rPr>
                <w:b w:val="false"/>
                <w:bCs w:val="false"/>
              </w:rPr>
              <w:t xml:space="preserve">Uplift / causal targeting model</w:t>
            </w:r>
          </w:p>
        </w:tc>
        <w:tc>
          <w:tcPr>
            <w:tcW w:type="dxa" w:w="1600"/>
            <w:tcBorders>
              <w:top w:val="single" w:color="BBBBBB" w:sz="1"/>
              <w:left w:val="single" w:color="BBBBBB" w:sz="1"/>
              <w:bottom w:val="single" w:color="BBBBBB" w:sz="1"/>
              <w:right w:val="single" w:color="BBBBBB" w:sz="1"/>
            </w:tcBorders>
            <w:shd w:fill="EFEFEF" w:val="clear"/>
            <w:tcMar>
              <w:top w:type="dxa" w:w="70"/>
              <w:left w:type="dxa" w:w="110"/>
              <w:bottom w:type="dxa" w:w="70"/>
              <w:right w:type="dxa" w:w="110"/>
            </w:tcMar>
          </w:tcPr>
          <w:p>
            <w:pPr>
              <w:jc w:val="center"/>
            </w:pPr>
            <w:r>
              <w:rPr>
                <w:b w:val="false"/>
                <w:bCs w:val="false"/>
              </w:rPr>
              <w:t xml:space="preserve">(c)</w:t>
            </w:r>
          </w:p>
        </w:tc>
        <w:tc>
          <w:tcPr>
            <w:tcW w:type="dxa" w:w="4000"/>
            <w:tcBorders>
              <w:top w:val="single" w:color="BBBBBB" w:sz="1"/>
              <w:left w:val="single" w:color="BBBBBB" w:sz="1"/>
              <w:bottom w:val="single" w:color="BBBBBB" w:sz="1"/>
              <w:right w:val="single" w:color="BBBBBB" w:sz="1"/>
            </w:tcBorders>
            <w:shd w:fill="EFEFEF" w:val="clear"/>
            <w:tcMar>
              <w:top w:type="dxa" w:w="70"/>
              <w:left w:type="dxa" w:w="110"/>
              <w:bottom w:type="dxa" w:w="70"/>
              <w:right w:type="dxa" w:w="110"/>
            </w:tcMar>
          </w:tcPr>
          <w:p>
            <w:pPr>
              <w:jc w:val="left"/>
            </w:pPr>
            <w:r>
              <w:rPr>
                <w:b w:val="false"/>
                <w:bCs w:val="false"/>
              </w:rPr>
              <w:t xml:space="preserve">Identifies which users can be made active and by which intervention.</w:t>
            </w:r>
          </w:p>
        </w:tc>
      </w:tr>
      <w:tr>
        <w:tc>
          <w:tcPr>
            <w:tcW w:type="dxa" w:w="11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center"/>
            </w:pPr>
            <w:r>
              <w:rPr>
                <w:b/>
                <w:bCs/>
              </w:rPr>
              <w:t xml:space="preserve">E</w:t>
            </w:r>
          </w:p>
        </w:tc>
        <w:tc>
          <w:tcPr>
            <w:tcW w:type="dxa" w:w="255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val="false"/>
                <w:bCs w:val="false"/>
              </w:rPr>
              <w:t xml:space="preserve">Activeness-optimized ranking / bandit recommender</w:t>
            </w:r>
          </w:p>
        </w:tc>
        <w:tc>
          <w:tcPr>
            <w:tcW w:type="dxa" w:w="1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center"/>
            </w:pPr>
            <w:r>
              <w:rPr>
                <w:b w:val="false"/>
                <w:bCs w:val="false"/>
              </w:rPr>
              <w:t xml:space="preserve">(c)</w:t>
            </w:r>
          </w:p>
        </w:tc>
        <w:tc>
          <w:tcPr>
            <w:tcW w:type="dxa" w:w="4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val="false"/>
                <w:bCs w:val="false"/>
              </w:rPr>
              <w:t xml:space="preserve">Builds a recommender whose objective is the count of active users, not single-click CTR.</w:t>
            </w:r>
          </w:p>
        </w:tc>
      </w:tr>
    </w:tbl>
    <w:p>
      <w:pPr>
        <w:pStyle w:val="Heading2"/>
      </w:pPr>
      <w:r>
        <w:t xml:space="preserve">6.1 Sub-Project A — Behavioural Segmentation &amp; Content-Taste Profiling</w:t>
      </w:r>
    </w:p>
    <w:p>
      <w:pPr>
        <w:spacing w:after="140" w:line="276"/>
      </w:pPr>
      <w:r>
        <w:rPr>
          <w:b/>
          <w:bCs/>
        </w:rPr>
        <w:t xml:space="preserve">Answers: </w:t>
      </w:r>
      <w:r>
        <w:t xml:space="preserve">Part (a) — characteristics and preferences of active users</w:t>
      </w:r>
      <w:r>
        <w:rPr>
          <w:b/>
          <w:bCs/>
        </w:rPr>
        <w:t xml:space="preserve">    ·    Difficulty: </w:t>
      </w:r>
      <w:r>
        <w:t xml:space="preserve">Low–Medium (lowest-risk anchor for the team)</w:t>
      </w:r>
    </w:p>
    <w:p>
      <w:pPr>
        <w:spacing w:after="140" w:line="276"/>
      </w:pPr>
      <w:r>
        <w:rPr>
          <w:b/>
          <w:bCs/>
        </w:rPr>
        <w:t xml:space="preserve">Goal. </w:t>
      </w:r>
      <w:r>
        <w:t xml:space="preserve">Move Part (a) from descriptive statistics to a structured account of who active users are and what content they prefer, producing named behavioural archetypes and taste profiles that the other sub-projects can reference.</w:t>
      </w:r>
    </w:p>
    <w:p>
      <w:pPr>
        <w:spacing w:after="140" w:line="276"/>
      </w:pPr>
      <w:r>
        <w:rPr>
          <w:b/>
          <w:bCs/>
        </w:rPr>
        <w:t xml:space="preserve">Why it is novel here. </w:t>
      </w:r>
      <w:r>
        <w:t xml:space="preserve">Thesis 1 described active users with summary stats only. This sub-project models the structure: unsupervised segments plus content-taste vectors derived from what users actually consume.</w:t>
      </w:r>
    </w:p>
    <w:p>
      <w:pPr>
        <w:pStyle w:val="Heading3"/>
      </w:pPr>
      <w:r>
        <w:t xml:space="preserve">Method</w:t>
      </w:r>
    </w:p>
    <w:p>
      <w:pPr>
        <w:pStyle w:val="ListParagraph"/>
        <w:numPr>
          <w:ilvl w:val="0"/>
          <w:numId w:val="2"/>
        </w:numPr>
        <w:spacing w:after="60" w:line="264"/>
      </w:pPr>
      <w:r>
        <w:t xml:space="preserve">Build user-level engagement features (action mix, dwell, breadth, persistence) on the shared feature table.</w:t>
      </w:r>
    </w:p>
    <w:p>
      <w:pPr>
        <w:pStyle w:val="ListParagraph"/>
        <w:numPr>
          <w:ilvl w:val="0"/>
          <w:numId w:val="2"/>
        </w:numPr>
        <w:spacing w:after="60" w:line="264"/>
      </w:pPr>
      <w:r>
        <w:t xml:space="preserve">Cluster users (k-means / Gaussian mixture / HDBSCAN) into behavioural archetypes; profile each segment's activeness rate.</w:t>
      </w:r>
    </w:p>
    <w:p>
      <w:pPr>
        <w:pStyle w:val="ListParagraph"/>
        <w:numPr>
          <w:ilvl w:val="0"/>
          <w:numId w:val="2"/>
        </w:numPr>
        <w:spacing w:after="60" w:line="264"/>
      </w:pPr>
      <w:r>
        <w:t xml:space="preserve">Construct content-taste embeddings: aggregate the contentId / talkId / artistId (and card type) of the cards each user engages with; reduce with PCA / NMF or simple item2vec over engaged cards.</w:t>
      </w:r>
    </w:p>
    <w:p>
      <w:pPr>
        <w:pStyle w:val="ListParagraph"/>
        <w:numPr>
          <w:ilvl w:val="0"/>
          <w:numId w:val="2"/>
        </w:numPr>
        <w:spacing w:after="60" w:line="264"/>
      </w:pPr>
      <w:r>
        <w:t xml:space="preserve">Characterize how active vs. inactive users differ in taste diversity (e.g., Shannon entropy over contentId), novelty-seeking, and music-video vs. image-card preference.</w:t>
      </w:r>
    </w:p>
    <w:p>
      <w:pPr>
        <w:pStyle w:val="Heading3"/>
      </w:pPr>
      <w:r>
        <w:t xml:space="preserve">Inputs / Output / Evaluation</w:t>
      </w:r>
    </w:p>
    <w:p>
      <w:pPr>
        <w:pStyle w:val="ListParagraph"/>
        <w:numPr>
          <w:ilvl w:val="0"/>
          <w:numId w:val="2"/>
        </w:numPr>
        <w:spacing w:after="60" w:line="264"/>
      </w:pPr>
      <w:r>
        <w:rPr>
          <w:b/>
          <w:bCs/>
        </w:rPr>
        <w:t xml:space="preserve">Inputs: </w:t>
      </w:r>
      <w:r>
        <w:t xml:space="preserve">Shared user-level feature table + card metadata.</w:t>
      </w:r>
    </w:p>
    <w:p>
      <w:pPr>
        <w:pStyle w:val="ListParagraph"/>
        <w:numPr>
          <w:ilvl w:val="0"/>
          <w:numId w:val="2"/>
        </w:numPr>
        <w:spacing w:after="60" w:line="264"/>
      </w:pPr>
      <w:r>
        <w:rPr>
          <w:b/>
          <w:bCs/>
        </w:rPr>
        <w:t xml:space="preserve">Output: </w:t>
      </w:r>
      <w:r>
        <w:t xml:space="preserve">A segmentation scheme, per-segment activeness profiles, and taste vectors that feed Members D and E.</w:t>
      </w:r>
    </w:p>
    <w:p>
      <w:pPr>
        <w:pStyle w:val="ListParagraph"/>
        <w:numPr>
          <w:ilvl w:val="0"/>
          <w:numId w:val="2"/>
        </w:numPr>
        <w:spacing w:after="60" w:line="264"/>
      </w:pPr>
      <w:r>
        <w:rPr>
          <w:b/>
          <w:bCs/>
        </w:rPr>
        <w:t xml:space="preserve">Evaluation: </w:t>
      </w:r>
      <w:r>
        <w:t xml:space="preserve">Cluster validity (silhouette, stability across resamples) and interpretability; external check that segments separate on the held-out activeness label.</w:t>
      </w:r>
    </w:p>
    <w:p>
      <w:pPr>
        <w:spacing w:after="140" w:line="276"/>
      </w:pPr>
      <w:r>
        <w:rPr>
          <w:b/>
          <w:bCs/>
        </w:rPr>
        <w:t xml:space="preserve">Main risk &amp; mitigation. </w:t>
      </w:r>
      <w:r>
        <w:t xml:space="preserve">Clusters can be unstable or uninterpretable. Mitigate with multiple algorithms, resampling stability checks, and tying segments back to the activeness outcome so they are not purely descriptive.</w:t>
      </w:r>
    </w:p>
    <w:p>
      <w:pPr>
        <w:pStyle w:val="Heading2"/>
      </w:pPr>
      <w:r>
        <w:t xml:space="preserve">6.2 Sub-Project B — Sequential Deep Model for Activity Prediction</w:t>
      </w:r>
    </w:p>
    <w:p>
      <w:pPr>
        <w:spacing w:after="140" w:line="276"/>
      </w:pPr>
      <w:r>
        <w:rPr>
          <w:b/>
          <w:bCs/>
        </w:rPr>
        <w:t xml:space="preserve">Answers: </w:t>
      </w:r>
      <w:r>
        <w:t xml:space="preserve">Part (b) — predict active/inactive from early actions</w:t>
      </w:r>
      <w:r>
        <w:rPr>
          <w:b/>
          <w:bCs/>
        </w:rPr>
        <w:t xml:space="preserve">    ·    Difficulty: </w:t>
      </w:r>
      <w:r>
        <w:t xml:space="preserve">Medium–High</w:t>
      </w:r>
    </w:p>
    <w:p>
      <w:pPr>
        <w:spacing w:after="140" w:line="276"/>
      </w:pPr>
      <w:r>
        <w:rPr>
          <w:b/>
          <w:bCs/>
        </w:rPr>
        <w:t xml:space="preserve">Goal. </w:t>
      </w:r>
      <w:r>
        <w:t xml:space="preserve">Predict future activeness from the ordered sequence of a user's early interactions, exploiting timing and feed position that aggregate features discard.</w:t>
      </w:r>
    </w:p>
    <w:p>
      <w:pPr>
        <w:spacing w:after="140" w:line="276"/>
      </w:pPr>
      <w:r>
        <w:rPr>
          <w:b/>
          <w:bCs/>
        </w:rPr>
        <w:t xml:space="preserve">Why it is novel here. </w:t>
      </w:r>
      <w:r>
        <w:t xml:space="preserve">This is the most-covered sub-question, so the differentiation is entirely in the method: a sequence model (GRU4Rec / LSTM / a small Transformer such as SASRec-style) over the raw early-action stream, versus the prior thesis's flat XGBoost features.</w:t>
      </w:r>
    </w:p>
    <w:p>
      <w:pPr>
        <w:pStyle w:val="Heading3"/>
      </w:pPr>
      <w:r>
        <w:t xml:space="preserve">Method</w:t>
      </w:r>
    </w:p>
    <w:p>
      <w:pPr>
        <w:pStyle w:val="ListParagraph"/>
        <w:numPr>
          <w:ilvl w:val="0"/>
          <w:numId w:val="2"/>
        </w:numPr>
        <w:spacing w:after="60" w:line="264"/>
      </w:pPr>
      <w:r>
        <w:t xml:space="preserve">From the sampled-user sequence dataset, build per-user ordered event tokens (action type, card type, content category, position bucket, time-gap bucket).</w:t>
      </w:r>
    </w:p>
    <w:p>
      <w:pPr>
        <w:pStyle w:val="ListParagraph"/>
        <w:numPr>
          <w:ilvl w:val="0"/>
          <w:numId w:val="2"/>
        </w:numPr>
        <w:spacing w:after="60" w:line="264"/>
      </w:pPr>
      <w:r>
        <w:t xml:space="preserve">Train a recurrent or self-attention encoder that maps the early sequence to an activeness probability.</w:t>
      </w:r>
    </w:p>
    <w:p>
      <w:pPr>
        <w:pStyle w:val="ListParagraph"/>
        <w:numPr>
          <w:ilvl w:val="0"/>
          <w:numId w:val="2"/>
        </w:numPr>
        <w:spacing w:after="60" w:line="264"/>
      </w:pPr>
      <w:r>
        <w:t xml:space="preserve">Benchmark explicitly against the prior thesis's flat XGBoost on the same split — the comparison is itself a contribution (does order help?).</w:t>
      </w:r>
    </w:p>
    <w:p>
      <w:pPr>
        <w:pStyle w:val="ListParagraph"/>
        <w:numPr>
          <w:ilvl w:val="0"/>
          <w:numId w:val="2"/>
        </w:numPr>
        <w:spacing w:after="60" w:line="264"/>
      </w:pPr>
      <w:r>
        <w:t xml:space="preserve">Use attention weights / integrated gradients for interpretability, paralleling (and contrasting with) SHAP.</w:t>
      </w:r>
    </w:p>
    <w:p>
      <w:pPr>
        <w:pStyle w:val="Heading3"/>
      </w:pPr>
      <w:r>
        <w:t xml:space="preserve">Inputs / Output / Evaluation</w:t>
      </w:r>
    </w:p>
    <w:p>
      <w:pPr>
        <w:pStyle w:val="ListParagraph"/>
        <w:numPr>
          <w:ilvl w:val="0"/>
          <w:numId w:val="2"/>
        </w:numPr>
        <w:spacing w:after="60" w:line="264"/>
      </w:pPr>
      <w:r>
        <w:rPr>
          <w:b/>
          <w:bCs/>
        </w:rPr>
        <w:t xml:space="preserve">Inputs: </w:t>
      </w:r>
      <w:r>
        <w:t xml:space="preserve">Sampled ordered-sequence dataset; shared label and split.</w:t>
      </w:r>
    </w:p>
    <w:p>
      <w:pPr>
        <w:pStyle w:val="ListParagraph"/>
        <w:numPr>
          <w:ilvl w:val="0"/>
          <w:numId w:val="2"/>
        </w:numPr>
        <w:spacing w:after="60" w:line="264"/>
      </w:pPr>
      <w:r>
        <w:rPr>
          <w:b/>
          <w:bCs/>
        </w:rPr>
        <w:t xml:space="preserve">Output: </w:t>
      </w:r>
      <w:r>
        <w:t xml:space="preserve">A trained sequence classifier + an apples-to-apples comparison vs. static features.</w:t>
      </w:r>
    </w:p>
    <w:p>
      <w:pPr>
        <w:pStyle w:val="ListParagraph"/>
        <w:numPr>
          <w:ilvl w:val="0"/>
          <w:numId w:val="2"/>
        </w:numPr>
        <w:spacing w:after="60" w:line="264"/>
      </w:pPr>
      <w:r>
        <w:rPr>
          <w:b/>
          <w:bCs/>
        </w:rPr>
        <w:t xml:space="preserve">Evaluation: </w:t>
      </w:r>
      <w:r>
        <w:t xml:space="preserve">ROC-AUC and PR-AUC on the shared test set, reported alongside the XGBoost baseline; calibration curve.</w:t>
      </w:r>
    </w:p>
    <w:p>
      <w:pPr>
        <w:spacing w:after="140" w:line="276"/>
      </w:pPr>
      <w:r>
        <w:rPr>
          <w:b/>
          <w:bCs/>
        </w:rPr>
        <w:t xml:space="preserve">Main risk &amp; mitigation. </w:t>
      </w:r>
      <w:r>
        <w:t xml:space="preserve">Sequence models can underperform strong gradient-boosting on tabular-ish data and need a GPU. Mitigate by keeping the static XGBoost as a baseline (a negative result — 'order adds little' — is still publishable) and by sampling users to keep training tractable.</w:t>
      </w:r>
    </w:p>
    <w:p>
      <w:pPr>
        <w:pStyle w:val="Heading2"/>
      </w:pPr>
      <w:r>
        <w:t xml:space="preserve">6.3 Sub-Project C — Survival / Time-to-Disengagement Model</w:t>
      </w:r>
    </w:p>
    <w:p>
      <w:pPr>
        <w:spacing w:after="140" w:line="276"/>
      </w:pPr>
      <w:r>
        <w:rPr>
          <w:b/>
          <w:bCs/>
        </w:rPr>
        <w:t xml:space="preserve">Answers: </w:t>
      </w:r>
      <w:r>
        <w:t xml:space="preserve">Part (b), reframed — when does a user go inactive?</w:t>
      </w:r>
      <w:r>
        <w:rPr>
          <w:b/>
          <w:bCs/>
        </w:rPr>
        <w:t xml:space="preserve">    ·    Difficulty: </w:t>
      </w:r>
      <w:r>
        <w:t xml:space="preserve">Medium</w:t>
      </w:r>
    </w:p>
    <w:p>
      <w:pPr>
        <w:spacing w:after="140" w:line="276"/>
      </w:pPr>
      <w:r>
        <w:rPr>
          <w:b/>
          <w:bCs/>
        </w:rPr>
        <w:t xml:space="preserve">Goal. </w:t>
      </w:r>
      <w:r>
        <w:t xml:space="preserve">Replace the binary snapshot with a time-to-event view: model how long a user stays engaged and what hazards predict disengagement within the 30-day window.</w:t>
      </w:r>
    </w:p>
    <w:p>
      <w:pPr>
        <w:spacing w:after="140" w:line="276"/>
      </w:pPr>
      <w:r>
        <w:rPr>
          <w:b/>
          <w:bCs/>
        </w:rPr>
        <w:t xml:space="preserve">Why it is novel here. </w:t>
      </w:r>
      <w:r>
        <w:t xml:space="preserve">A genuinely different target (hazard / survival curve) that neither prior thesis used. Gives NCM an early-warning timeline rather than a single yes/no.</w:t>
      </w:r>
    </w:p>
    <w:p>
      <w:pPr>
        <w:pStyle w:val="Heading3"/>
      </w:pPr>
      <w:r>
        <w:t xml:space="preserve">Method</w:t>
      </w:r>
    </w:p>
    <w:p>
      <w:pPr>
        <w:pStyle w:val="ListParagraph"/>
        <w:numPr>
          <w:ilvl w:val="0"/>
          <w:numId w:val="2"/>
        </w:numPr>
        <w:spacing w:after="60" w:line="264"/>
      </w:pPr>
      <w:r>
        <w:t xml:space="preserve">Define the event as the onset of sustained inactivity (e.g., first multi-day gap with near-zero clicks); right-censor users still active at day 30.</w:t>
      </w:r>
    </w:p>
    <w:p>
      <w:pPr>
        <w:pStyle w:val="ListParagraph"/>
        <w:numPr>
          <w:ilvl w:val="0"/>
          <w:numId w:val="2"/>
        </w:numPr>
        <w:spacing w:after="60" w:line="264"/>
      </w:pPr>
      <w:r>
        <w:t xml:space="preserve">Fit Cox proportional hazards and a discrete-time survival model; optionally DeepSurv for non-linear effects.</w:t>
      </w:r>
    </w:p>
    <w:p>
      <w:pPr>
        <w:pStyle w:val="ListParagraph"/>
        <w:numPr>
          <w:ilvl w:val="0"/>
          <w:numId w:val="2"/>
        </w:numPr>
        <w:spacing w:after="60" w:line="264"/>
      </w:pPr>
      <w:r>
        <w:t xml:space="preserve">Interpret hazard ratios for early-behaviour covariates; compare against the classification framing.</w:t>
      </w:r>
    </w:p>
    <w:p>
      <w:pPr>
        <w:pStyle w:val="Heading3"/>
      </w:pPr>
      <w:r>
        <w:t xml:space="preserve">Inputs / Output / Evaluation</w:t>
      </w:r>
    </w:p>
    <w:p>
      <w:pPr>
        <w:pStyle w:val="ListParagraph"/>
        <w:numPr>
          <w:ilvl w:val="0"/>
          <w:numId w:val="2"/>
        </w:numPr>
        <w:spacing w:after="60" w:line="264"/>
      </w:pPr>
      <w:r>
        <w:rPr>
          <w:b/>
          <w:bCs/>
        </w:rPr>
        <w:t xml:space="preserve">Inputs: </w:t>
      </w:r>
      <w:r>
        <w:t xml:space="preserve">Shared user-level features with per-user event/censoring times derived from the impression timeline.</w:t>
      </w:r>
    </w:p>
    <w:p>
      <w:pPr>
        <w:pStyle w:val="ListParagraph"/>
        <w:numPr>
          <w:ilvl w:val="0"/>
          <w:numId w:val="2"/>
        </w:numPr>
        <w:spacing w:after="60" w:line="264"/>
      </w:pPr>
      <w:r>
        <w:rPr>
          <w:b/>
          <w:bCs/>
        </w:rPr>
        <w:t xml:space="preserve">Output: </w:t>
      </w:r>
      <w:r>
        <w:t xml:space="preserve">Survival curves, hazard ratios, and a time-aware risk score per user.</w:t>
      </w:r>
    </w:p>
    <w:p>
      <w:pPr>
        <w:pStyle w:val="ListParagraph"/>
        <w:numPr>
          <w:ilvl w:val="0"/>
          <w:numId w:val="2"/>
        </w:numPr>
        <w:spacing w:after="60" w:line="264"/>
      </w:pPr>
      <w:r>
        <w:rPr>
          <w:b/>
          <w:bCs/>
        </w:rPr>
        <w:t xml:space="preserve">Evaluation: </w:t>
      </w:r>
      <w:r>
        <w:t xml:space="preserve">Concordance index (C-index), time-dependent AUC, calibration of predicted vs. observed survival.</w:t>
      </w:r>
    </w:p>
    <w:p>
      <w:pPr>
        <w:spacing w:after="140" w:line="276"/>
      </w:pPr>
      <w:r>
        <w:rPr>
          <w:b/>
          <w:bCs/>
        </w:rPr>
        <w:t xml:space="preserve">Main risk &amp; mitigation. </w:t>
      </w:r>
      <w:r>
        <w:t xml:space="preserve">Only 30 days are observed, so 'churn' beyond the window is unobservable and censoring is heavy. Mitigate by framing strictly as within-window disengagement and being explicit about the horizon limitation.</w:t>
      </w:r>
    </w:p>
    <w:p>
      <w:pPr>
        <w:pStyle w:val="Heading2"/>
      </w:pPr>
      <w:r>
        <w:t xml:space="preserve">6.4 Sub-Project D — Uplift / Causal Targeting Model</w:t>
      </w:r>
    </w:p>
    <w:p>
      <w:pPr>
        <w:spacing w:after="140" w:line="276"/>
      </w:pPr>
      <w:r>
        <w:rPr>
          <w:b/>
          <w:bCs/>
        </w:rPr>
        <w:t xml:space="preserve">Answers: </w:t>
      </w:r>
      <w:r>
        <w:t xml:space="preserve">Part (c) — design to maximize the number of active users</w:t>
      </w:r>
      <w:r>
        <w:rPr>
          <w:b/>
          <w:bCs/>
        </w:rPr>
        <w:t xml:space="preserve">    ·    Difficulty: </w:t>
      </w:r>
      <w:r>
        <w:t xml:space="preserve">High (highest ceiling, highest risk — assign to your strongest member)</w:t>
      </w:r>
    </w:p>
    <w:p>
      <w:pPr>
        <w:spacing w:after="140" w:line="276"/>
      </w:pPr>
      <w:r>
        <w:rPr>
          <w:b/>
          <w:bCs/>
        </w:rPr>
        <w:t xml:space="preserve">Goal. </w:t>
      </w:r>
      <w:r>
        <w:t xml:space="preserve">Shift from prediction to intervention: estimate which users can actually be moved from inactive to active, and by what kind of recommendation, rather than just who is likely to be active.</w:t>
      </w:r>
    </w:p>
    <w:p>
      <w:pPr>
        <w:spacing w:after="140" w:line="276"/>
      </w:pPr>
      <w:r>
        <w:rPr>
          <w:b/>
          <w:bCs/>
        </w:rPr>
        <w:t xml:space="preserve">Why it is novel here. </w:t>
      </w:r>
      <w:r>
        <w:t xml:space="preserve">The real objective in Part (c) is causal ('make users active'), not predictive. No prior thesis touched uplift. This is the single biggest piece of white space.</w:t>
      </w:r>
    </w:p>
    <w:p>
      <w:pPr>
        <w:pStyle w:val="Heading3"/>
      </w:pPr>
      <w:r>
        <w:t xml:space="preserve">Method</w:t>
      </w:r>
    </w:p>
    <w:p>
      <w:pPr>
        <w:pStyle w:val="ListParagraph"/>
        <w:numPr>
          <w:ilvl w:val="0"/>
          <w:numId w:val="2"/>
        </w:numPr>
        <w:spacing w:after="60" w:line="264"/>
      </w:pPr>
      <w:r>
        <w:t xml:space="preserve">Use impressPosition and the logged recommendation variation as a quasi-experimental lever (the data authors explicitly highlight that impression position enables dynamic-policy study).</w:t>
      </w:r>
    </w:p>
    <w:p>
      <w:pPr>
        <w:pStyle w:val="ListParagraph"/>
        <w:numPr>
          <w:ilvl w:val="0"/>
          <w:numId w:val="2"/>
        </w:numPr>
        <w:spacing w:after="60" w:line="264"/>
      </w:pPr>
      <w:r>
        <w:t xml:space="preserve">Estimate heterogeneous treatment effects with two-model / X-learner uplift or causal forests (econml / causalml).</w:t>
      </w:r>
    </w:p>
    <w:p>
      <w:pPr>
        <w:pStyle w:val="ListParagraph"/>
        <w:numPr>
          <w:ilvl w:val="0"/>
          <w:numId w:val="2"/>
        </w:numPr>
        <w:spacing w:after="60" w:line="264"/>
      </w:pPr>
      <w:r>
        <w:t xml:space="preserve">Segment users by predicted uplift ('persuadable' vs. 'sure things' vs. 'lost causes') and connect to Member A's archetypes.</w:t>
      </w:r>
    </w:p>
    <w:p>
      <w:pPr>
        <w:pStyle w:val="ListParagraph"/>
        <w:numPr>
          <w:ilvl w:val="0"/>
          <w:numId w:val="2"/>
        </w:numPr>
        <w:spacing w:after="60" w:line="264"/>
      </w:pPr>
      <w:r>
        <w:t xml:space="preserve">Translate into a targeting policy: which users to invest recommendation effort in to maximize net new active users.</w:t>
      </w:r>
    </w:p>
    <w:p>
      <w:pPr>
        <w:pStyle w:val="Heading3"/>
      </w:pPr>
      <w:r>
        <w:t xml:space="preserve">Inputs / Output / Evaluation</w:t>
      </w:r>
    </w:p>
    <w:p>
      <w:pPr>
        <w:pStyle w:val="ListParagraph"/>
        <w:numPr>
          <w:ilvl w:val="0"/>
          <w:numId w:val="2"/>
        </w:numPr>
        <w:spacing w:after="60" w:line="264"/>
      </w:pPr>
      <w:r>
        <w:rPr>
          <w:b/>
          <w:bCs/>
        </w:rPr>
        <w:t xml:space="preserve">Inputs: </w:t>
      </w:r>
      <w:r>
        <w:t xml:space="preserve">Impression-level data with position/exposure variation; user features and segments.</w:t>
      </w:r>
    </w:p>
    <w:p>
      <w:pPr>
        <w:pStyle w:val="ListParagraph"/>
        <w:numPr>
          <w:ilvl w:val="0"/>
          <w:numId w:val="2"/>
        </w:numPr>
        <w:spacing w:after="60" w:line="264"/>
      </w:pPr>
      <w:r>
        <w:rPr>
          <w:b/>
          <w:bCs/>
        </w:rPr>
        <w:t xml:space="preserve">Output: </w:t>
      </w:r>
      <w:r>
        <w:t xml:space="preserve">Per-user uplift scores, a persuadable-user segmentation, and a targeting-policy recommendation.</w:t>
      </w:r>
    </w:p>
    <w:p>
      <w:pPr>
        <w:pStyle w:val="ListParagraph"/>
        <w:numPr>
          <w:ilvl w:val="0"/>
          <w:numId w:val="2"/>
        </w:numPr>
        <w:spacing w:after="60" w:line="264"/>
      </w:pPr>
      <w:r>
        <w:rPr>
          <w:b/>
          <w:bCs/>
        </w:rPr>
        <w:t xml:space="preserve">Evaluation: </w:t>
      </w:r>
      <w:r>
        <w:t xml:space="preserve">Qini / uplift curves, policy value under off-policy estimation; sensitivity to confounding assumptions.</w:t>
      </w:r>
    </w:p>
    <w:p>
      <w:pPr>
        <w:spacing w:after="140" w:line="276"/>
      </w:pPr>
      <w:r>
        <w:rPr>
          <w:b/>
          <w:bCs/>
        </w:rPr>
        <w:t xml:space="preserve">Main risk &amp; mitigation. </w:t>
      </w:r>
      <w:r>
        <w:t xml:space="preserve">Observational data has no clean randomized treatment, so naive uplift can be confidently wrong. Mitigate by stating identification assumptions explicitly, using position as the cleanest available source of exogeneity, and running confounding sensitivity analysis. Whoever owns this must understand the assumptions well enough to defend them.</w:t>
      </w:r>
    </w:p>
    <w:p>
      <w:pPr>
        <w:pStyle w:val="Heading2"/>
      </w:pPr>
      <w:r>
        <w:t xml:space="preserve">6.5 Sub-Project E — Activeness-Optimized Ranking / Bandit Recommender (optional 5th member)</w:t>
      </w:r>
    </w:p>
    <w:p>
      <w:pPr>
        <w:spacing w:after="140" w:line="276"/>
      </w:pPr>
      <w:r>
        <w:rPr>
          <w:b/>
          <w:bCs/>
        </w:rPr>
        <w:t xml:space="preserve">Answers: </w:t>
      </w:r>
      <w:r>
        <w:t xml:space="preserve">Part (c) — the recommender itself</w:t>
      </w:r>
      <w:r>
        <w:rPr>
          <w:b/>
          <w:bCs/>
        </w:rPr>
        <w:t xml:space="preserve">    ·    Difficulty: </w:t>
      </w:r>
      <w:r>
        <w:t xml:space="preserve">High</w:t>
      </w:r>
    </w:p>
    <w:p>
      <w:pPr>
        <w:spacing w:after="140" w:line="276"/>
      </w:pPr>
      <w:r>
        <w:rPr>
          <w:b/>
          <w:bCs/>
        </w:rPr>
        <w:t xml:space="preserve">Goal. </w:t>
      </w:r>
      <w:r>
        <w:t xml:space="preserve">Prototype a recommender whose objective is sustained activeness, not single-impression click probability — directly answering 'design the recommender to maximize the number of active users.'</w:t>
      </w:r>
    </w:p>
    <w:p>
      <w:pPr>
        <w:spacing w:after="140" w:line="276"/>
      </w:pPr>
      <w:r>
        <w:rPr>
          <w:b/>
          <w:bCs/>
        </w:rPr>
        <w:t xml:space="preserve">Why it is novel here. </w:t>
      </w:r>
      <w:r>
        <w:t xml:space="preserve">Thesis 2 built cold-start similarity matching; it did not optimize for retention/activeness. A learning-to-rank or contextual-bandit recommender with an activeness-weighted objective is new on this dataset.</w:t>
      </w:r>
    </w:p>
    <w:p>
      <w:pPr>
        <w:pStyle w:val="Heading3"/>
      </w:pPr>
      <w:r>
        <w:t xml:space="preserve">Method</w:t>
      </w:r>
    </w:p>
    <w:p>
      <w:pPr>
        <w:pStyle w:val="ListParagraph"/>
        <w:numPr>
          <w:ilvl w:val="0"/>
          <w:numId w:val="2"/>
        </w:numPr>
        <w:spacing w:after="60" w:line="264"/>
      </w:pPr>
      <w:r>
        <w:t xml:space="preserve">Build a learning-to-rank model over impressions with a reward that weights actions by their association with future activeness (from Members B/C).</w:t>
      </w:r>
    </w:p>
    <w:p>
      <w:pPr>
        <w:pStyle w:val="ListParagraph"/>
        <w:numPr>
          <w:ilvl w:val="0"/>
          <w:numId w:val="2"/>
        </w:numPr>
        <w:spacing w:after="60" w:line="264"/>
      </w:pPr>
      <w:r>
        <w:t xml:space="preserve">Alternatively, a contextual bandit / off-policy evaluation using the logged feed (impressPosition gives the logging policy's choices).</w:t>
      </w:r>
    </w:p>
    <w:p>
      <w:pPr>
        <w:pStyle w:val="ListParagraph"/>
        <w:numPr>
          <w:ilvl w:val="0"/>
          <w:numId w:val="2"/>
        </w:numPr>
        <w:spacing w:after="60" w:line="264"/>
      </w:pPr>
      <w:r>
        <w:t xml:space="preserve">Evaluate offline with off-policy estimators (IPS / doubly-robust); compare ranked-list quality against a CTR-only baseline.</w:t>
      </w:r>
    </w:p>
    <w:p>
      <w:pPr>
        <w:pStyle w:val="Heading3"/>
      </w:pPr>
      <w:r>
        <w:t xml:space="preserve">Inputs / Output / Evaluation</w:t>
      </w:r>
    </w:p>
    <w:p>
      <w:pPr>
        <w:pStyle w:val="ListParagraph"/>
        <w:numPr>
          <w:ilvl w:val="0"/>
          <w:numId w:val="2"/>
        </w:numPr>
        <w:spacing w:after="60" w:line="264"/>
      </w:pPr>
      <w:r>
        <w:rPr>
          <w:b/>
          <w:bCs/>
        </w:rPr>
        <w:t xml:space="preserve">Inputs: </w:t>
      </w:r>
      <w:r>
        <w:t xml:space="preserve">Impression logs, content-taste vectors (Member A), activeness signals (Members B/C).</w:t>
      </w:r>
    </w:p>
    <w:p>
      <w:pPr>
        <w:pStyle w:val="ListParagraph"/>
        <w:numPr>
          <w:ilvl w:val="0"/>
          <w:numId w:val="2"/>
        </w:numPr>
        <w:spacing w:after="60" w:line="264"/>
      </w:pPr>
      <w:r>
        <w:rPr>
          <w:b/>
          <w:bCs/>
        </w:rPr>
        <w:t xml:space="preserve">Output: </w:t>
      </w:r>
      <w:r>
        <w:t xml:space="preserve">A prototype activeness-aware ranker + offline policy evaluation vs. a CTR baseline.</w:t>
      </w:r>
    </w:p>
    <w:p>
      <w:pPr>
        <w:pStyle w:val="ListParagraph"/>
        <w:numPr>
          <w:ilvl w:val="0"/>
          <w:numId w:val="2"/>
        </w:numPr>
        <w:spacing w:after="60" w:line="264"/>
      </w:pPr>
      <w:r>
        <w:rPr>
          <w:b/>
          <w:bCs/>
        </w:rPr>
        <w:t xml:space="preserve">Evaluation: </w:t>
      </w:r>
      <w:r>
        <w:t xml:space="preserve">Off-policy estimated reward, NDCG against engagement, and projected activeness lift.</w:t>
      </w:r>
    </w:p>
    <w:p>
      <w:pPr>
        <w:spacing w:after="140" w:line="276"/>
      </w:pPr>
      <w:r>
        <w:rPr>
          <w:b/>
          <w:bCs/>
        </w:rPr>
        <w:t xml:space="preserve">Main risk &amp; mitigation. </w:t>
      </w:r>
      <w:r>
        <w:t xml:space="preserve">Offline RL/bandit evaluation is subtle and easy to get wrong. Mitigate by sticking to well-understood off-policy estimators, keeping a CTR-only baseline, and scoping to a prototype rather than a production system. If the team is only four, drop this to future work rather than overreaching.</w:t>
      </w:r>
    </w:p>
    <w:p>
      <w:pPr>
        <w:pStyle w:val="Heading1"/>
      </w:pPr>
      <w:r>
        <w:t xml:space="preserve">7. Cross-Cutting Evaluation &amp; Coherence</w:t>
      </w:r>
    </w:p>
    <w:p>
      <w:pPr>
        <w:spacing w:after="140" w:line="276"/>
      </w:pPr>
      <w:r>
        <w:t xml:space="preserve">Because the team grade depends on overall coherence, the sub-projects must visibly connect rather than read as five disconnected papers.</w:t>
      </w:r>
    </w:p>
    <w:p>
      <w:pPr>
        <w:pStyle w:val="ListParagraph"/>
        <w:numPr>
          <w:ilvl w:val="0"/>
          <w:numId w:val="2"/>
        </w:numPr>
        <w:spacing w:after="60" w:line="264"/>
      </w:pPr>
      <w:r>
        <w:t xml:space="preserve">Shared split and shared activeness label across all predictive models, so AUC/PR numbers are directly comparable.</w:t>
      </w:r>
    </w:p>
    <w:p>
      <w:pPr>
        <w:pStyle w:val="ListParagraph"/>
        <w:numPr>
          <w:ilvl w:val="0"/>
          <w:numId w:val="2"/>
        </w:numPr>
        <w:spacing w:after="60" w:line="264"/>
      </w:pPr>
      <w:r>
        <w:t xml:space="preserve">Member B reports against the prior thesis's static-feature baseline; Member C reports against Member B's classification framing; the contrast is part of the story.</w:t>
      </w:r>
    </w:p>
    <w:p>
      <w:pPr>
        <w:pStyle w:val="ListParagraph"/>
        <w:numPr>
          <w:ilvl w:val="0"/>
          <w:numId w:val="2"/>
        </w:numPr>
        <w:spacing w:after="60" w:line="264"/>
      </w:pPr>
      <w:r>
        <w:t xml:space="preserve">Members D and E consume Member A's segments and Members B/C's activeness signals, making the recommender work depend on the prediction work — one narrative arc from understanding → predicting → growing active users.</w:t>
      </w:r>
    </w:p>
    <w:p>
      <w:pPr>
        <w:pStyle w:val="ListParagraph"/>
        <w:numPr>
          <w:ilvl w:val="0"/>
          <w:numId w:val="2"/>
        </w:numPr>
        <w:spacing w:after="60" w:line="264"/>
      </w:pPr>
      <w:r>
        <w:t xml:space="preserve">A final verification pass (ideally by a member who did not build the model) re-runs each pipeline on the shared test set and checks for leakage, especially misuse of the user-table level field.</w:t>
      </w:r>
    </w:p>
    <w:p>
      <w:pPr>
        <w:pStyle w:val="Heading1"/>
      </w:pPr>
      <w:r>
        <w:t xml:space="preserve">8. Timeline (Sept 8 – Dec 8, ~13 Weeks, 3 Meetings)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c>
          <w:tcPr>
            <w:tcW w:type="dxa" w:w="1500"/>
            <w:tcBorders>
              <w:top w:val="single" w:color="BBBBBB" w:sz="1"/>
              <w:left w:val="single" w:color="BBBBBB" w:sz="1"/>
              <w:bottom w:val="single" w:color="BBBBBB" w:sz="1"/>
              <w:right w:val="single" w:color="BBBBBB" w:sz="1"/>
            </w:tcBorders>
            <w:shd w:fill="2E5C8A" w:val="clear"/>
            <w:tcMar>
              <w:top w:type="dxa" w:w="70"/>
              <w:left w:type="dxa" w:w="110"/>
              <w:bottom w:type="dxa" w:w="70"/>
              <w:right w:type="dxa" w:w="110"/>
            </w:tcMar>
          </w:tcPr>
          <w:p>
            <w:pPr>
              <w:jc w:val="left"/>
            </w:pPr>
            <w:r>
              <w:rPr>
                <w:b/>
                <w:bCs/>
                <w:color w:val="FFFFFF"/>
              </w:rPr>
              <w:t xml:space="preserve">Weeks</w:t>
            </w:r>
          </w:p>
        </w:tc>
        <w:tc>
          <w:tcPr>
            <w:tcW w:type="dxa" w:w="2400"/>
            <w:tcBorders>
              <w:top w:val="single" w:color="BBBBBB" w:sz="1"/>
              <w:left w:val="single" w:color="BBBBBB" w:sz="1"/>
              <w:bottom w:val="single" w:color="BBBBBB" w:sz="1"/>
              <w:right w:val="single" w:color="BBBBBB" w:sz="1"/>
            </w:tcBorders>
            <w:shd w:fill="2E5C8A" w:val="clear"/>
            <w:tcMar>
              <w:top w:type="dxa" w:w="70"/>
              <w:left w:type="dxa" w:w="110"/>
              <w:bottom w:type="dxa" w:w="70"/>
              <w:right w:type="dxa" w:w="110"/>
            </w:tcMar>
          </w:tcPr>
          <w:p>
            <w:pPr>
              <w:jc w:val="left"/>
            </w:pPr>
            <w:r>
              <w:rPr>
                <w:b/>
                <w:bCs/>
                <w:color w:val="FFFFFF"/>
              </w:rPr>
              <w:t xml:space="preserve">Phase</w:t>
            </w:r>
          </w:p>
        </w:tc>
        <w:tc>
          <w:tcPr>
            <w:tcW w:type="dxa" w:w="5460"/>
            <w:tcBorders>
              <w:top w:val="single" w:color="BBBBBB" w:sz="1"/>
              <w:left w:val="single" w:color="BBBBBB" w:sz="1"/>
              <w:bottom w:val="single" w:color="BBBBBB" w:sz="1"/>
              <w:right w:val="single" w:color="BBBBBB" w:sz="1"/>
            </w:tcBorders>
            <w:shd w:fill="2E5C8A" w:val="clear"/>
            <w:tcMar>
              <w:top w:type="dxa" w:w="70"/>
              <w:left w:type="dxa" w:w="110"/>
              <w:bottom w:type="dxa" w:w="70"/>
              <w:right w:type="dxa" w:w="110"/>
            </w:tcMar>
          </w:tcPr>
          <w:p>
            <w:pPr>
              <w:jc w:val="left"/>
            </w:pPr>
            <w:r>
              <w:rPr>
                <w:b/>
                <w:bCs/>
                <w:color w:val="FFFFFF"/>
              </w:rPr>
              <w:t xml:space="preserve">Deliverable</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center"/>
            </w:pPr>
            <w:r>
              <w:rPr>
                <w:b/>
                <w:bCs/>
              </w:rPr>
              <w:t xml:space="preserve">1–3</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val="false"/>
                <w:bCs w:val="false"/>
              </w:rPr>
              <w:t xml:space="preserve">Foundation</w:t>
            </w:r>
          </w:p>
        </w:tc>
        <w:tc>
          <w:tcPr>
            <w:tcW w:type="dxa" w:w="54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val="false"/>
                <w:bCs w:val="false"/>
              </w:rPr>
              <w:t xml:space="preserve">Parquet conversion, shared user-feature table, agreed label/window definitions, sampled-sequence dataset, fixed train/val/test split. Replicate a simple XGBoost baseline as a sanity check (Meeting 1).</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center"/>
            </w:pPr>
            <w:r>
              <w:rPr>
                <w:b/>
                <w:bCs/>
              </w:rPr>
              <w:t xml:space="preserve">4–8</w:t>
            </w:r>
          </w:p>
        </w:tc>
        <w:tc>
          <w:tcPr>
            <w:tcW w:type="dxa" w:w="2400"/>
            <w:tcBorders>
              <w:top w:val="single" w:color="BBBBBB" w:sz="1"/>
              <w:left w:val="single" w:color="BBBBBB" w:sz="1"/>
              <w:bottom w:val="single" w:color="BBBBBB" w:sz="1"/>
              <w:right w:val="single" w:color="BBBBBB" w:sz="1"/>
            </w:tcBorders>
            <w:shd w:fill="EFEFEF" w:val="clear"/>
            <w:tcMar>
              <w:top w:type="dxa" w:w="70"/>
              <w:left w:type="dxa" w:w="110"/>
              <w:bottom w:type="dxa" w:w="70"/>
              <w:right w:type="dxa" w:w="110"/>
            </w:tcMar>
          </w:tcPr>
          <w:p>
            <w:pPr>
              <w:jc w:val="left"/>
            </w:pPr>
            <w:r>
              <w:rPr>
                <w:b w:val="false"/>
                <w:bCs w:val="false"/>
              </w:rPr>
              <w:t xml:space="preserve">Individual modelling</w:t>
            </w:r>
          </w:p>
        </w:tc>
        <w:tc>
          <w:tcPr>
            <w:tcW w:type="dxa" w:w="5460"/>
            <w:tcBorders>
              <w:top w:val="single" w:color="BBBBBB" w:sz="1"/>
              <w:left w:val="single" w:color="BBBBBB" w:sz="1"/>
              <w:bottom w:val="single" w:color="BBBBBB" w:sz="1"/>
              <w:right w:val="single" w:color="BBBBBB" w:sz="1"/>
            </w:tcBorders>
            <w:shd w:fill="EFEFEF" w:val="clear"/>
            <w:tcMar>
              <w:top w:type="dxa" w:w="70"/>
              <w:left w:type="dxa" w:w="110"/>
              <w:bottom w:type="dxa" w:w="70"/>
              <w:right w:type="dxa" w:w="110"/>
            </w:tcMar>
          </w:tcPr>
          <w:p>
            <w:pPr>
              <w:jc w:val="left"/>
            </w:pPr>
            <w:r>
              <w:rPr>
                <w:b w:val="false"/>
                <w:bCs w:val="false"/>
              </w:rPr>
              <w:t xml:space="preserve">Each member builds and tunes their algorithm on shared inputs. Mid-point check-in; early results compared on the common test set (Meeting 2).</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center"/>
            </w:pPr>
            <w:r>
              <w:rPr>
                <w:b/>
                <w:bCs/>
              </w:rPr>
              <w:t xml:space="preserve">9–11</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val="false"/>
                <w:bCs w:val="false"/>
              </w:rPr>
              <w:t xml:space="preserve">Integration &amp; robustness</w:t>
            </w:r>
          </w:p>
        </w:tc>
        <w:tc>
          <w:tcPr>
            <w:tcW w:type="dxa" w:w="54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left"/>
            </w:pPr>
            <w:r>
              <w:rPr>
                <w:b w:val="false"/>
                <w:bCs w:val="false"/>
              </w:rPr>
              <w:t xml:space="preserve">Cross-model comparison, robustness checks across alternative thresholds, segments wired into D/E, leakage audit.</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center"/>
            </w:pPr>
            <w:r>
              <w:rPr>
                <w:b/>
                <w:bCs/>
              </w:rPr>
              <w:t xml:space="preserve">12–13</w:t>
            </w:r>
          </w:p>
        </w:tc>
        <w:tc>
          <w:tcPr>
            <w:tcW w:type="dxa" w:w="2400"/>
            <w:tcBorders>
              <w:top w:val="single" w:color="BBBBBB" w:sz="1"/>
              <w:left w:val="single" w:color="BBBBBB" w:sz="1"/>
              <w:bottom w:val="single" w:color="BBBBBB" w:sz="1"/>
              <w:right w:val="single" w:color="BBBBBB" w:sz="1"/>
            </w:tcBorders>
            <w:shd w:fill="EFEFEF" w:val="clear"/>
            <w:tcMar>
              <w:top w:type="dxa" w:w="70"/>
              <w:left w:type="dxa" w:w="110"/>
              <w:bottom w:type="dxa" w:w="70"/>
              <w:right w:type="dxa" w:w="110"/>
            </w:tcMar>
          </w:tcPr>
          <w:p>
            <w:pPr>
              <w:jc w:val="left"/>
            </w:pPr>
            <w:r>
              <w:rPr>
                <w:b w:val="false"/>
                <w:bCs w:val="false"/>
              </w:rPr>
              <w:t xml:space="preserve">Writing &amp; verification</w:t>
            </w:r>
          </w:p>
        </w:tc>
        <w:tc>
          <w:tcPr>
            <w:tcW w:type="dxa" w:w="5460"/>
            <w:tcBorders>
              <w:top w:val="single" w:color="BBBBBB" w:sz="1"/>
              <w:left w:val="single" w:color="BBBBBB" w:sz="1"/>
              <w:bottom w:val="single" w:color="BBBBBB" w:sz="1"/>
              <w:right w:val="single" w:color="BBBBBB" w:sz="1"/>
            </w:tcBorders>
            <w:shd w:fill="EFEFEF" w:val="clear"/>
            <w:tcMar>
              <w:top w:type="dxa" w:w="70"/>
              <w:left w:type="dxa" w:w="110"/>
              <w:bottom w:type="dxa" w:w="70"/>
              <w:right w:type="dxa" w:w="110"/>
            </w:tcMar>
          </w:tcPr>
          <w:p>
            <w:pPr>
              <w:jc w:val="left"/>
            </w:pPr>
            <w:r>
              <w:rPr>
                <w:b w:val="false"/>
                <w:bCs w:val="false"/>
              </w:rPr>
              <w:t xml:space="preserve">Group chapters + individual chapters, final verification pass, defense prep (Meeting 3 / hand-in Dec 8).</w:t>
            </w:r>
          </w:p>
        </w:tc>
      </w:tr>
    </w:tbl>
    <w:p>
      <w:pPr>
        <w:spacing w:after="140" w:line="276"/>
      </w:pPr>
      <w:r>
        <w:t xml:space="preserve">The single most important scheduling rule: </w:t>
      </w:r>
      <w:r>
        <w:rPr>
          <w:b/>
          <w:bCs/>
        </w:rPr>
        <w:t xml:space="preserve">the shared foundation and a working baseline must exist by the end of week 3.</w:t>
      </w:r>
      <w:r>
        <w:t xml:space="preserve"> If that slips, the advanced methods will not have time to recover. Build the boring pipeline first; the sophisticated models are incremental once it exists.</w:t>
      </w:r>
    </w:p>
    <w:p>
      <w:pPr>
        <w:pStyle w:val="Heading1"/>
      </w:pPr>
      <w:r>
        <w:t xml:space="preserve">9. Key Risks &amp; Honest Assessment</w:t>
      </w:r>
    </w:p>
    <w:p>
      <w:pPr>
        <w:pStyle w:val="ListParagraph"/>
        <w:numPr>
          <w:ilvl w:val="0"/>
          <w:numId w:val="2"/>
        </w:numPr>
        <w:spacing w:after="60" w:line="264"/>
      </w:pPr>
      <w:r>
        <w:rPr>
          <w:b/>
          <w:bCs/>
        </w:rPr>
        <w:t xml:space="preserve">Data engineering, not modelling, is the real bottleneck. </w:t>
      </w:r>
      <w:r>
        <w:t xml:space="preserve">6.3 GB and a correct, leakage-free temporal split are where teams lose weeks. Front-load this.</w:t>
      </w:r>
    </w:p>
    <w:p>
      <w:pPr>
        <w:pStyle w:val="ListParagraph"/>
        <w:numPr>
          <w:ilvl w:val="0"/>
          <w:numId w:val="2"/>
        </w:numPr>
        <w:spacing w:after="60" w:line="264"/>
      </w:pPr>
      <w:r>
        <w:rPr>
          <w:b/>
          <w:bCs/>
        </w:rPr>
        <w:t xml:space="preserve">Label leakage via the level field. </w:t>
      </w:r>
      <w:r>
        <w:t xml:space="preserve">The most likely silent error. Forbidden as a predictor; allowed only as alternative label / validation.</w:t>
      </w:r>
    </w:p>
    <w:p>
      <w:pPr>
        <w:pStyle w:val="ListParagraph"/>
        <w:numPr>
          <w:ilvl w:val="0"/>
          <w:numId w:val="2"/>
        </w:numPr>
        <w:spacing w:after="60" w:line="264"/>
      </w:pPr>
      <w:r>
        <w:rPr>
          <w:b/>
          <w:bCs/>
        </w:rPr>
        <w:t xml:space="preserve">The causal/recommender pieces (D, E) are high-ceiling, high-risk. </w:t>
      </w:r>
      <w:r>
        <w:t xml:space="preserve">Defensible only if the owner understands the assumptions. With four members, prefer doing D well over doing D and E shakily.</w:t>
      </w:r>
    </w:p>
    <w:p>
      <w:pPr>
        <w:pStyle w:val="ListParagraph"/>
        <w:numPr>
          <w:ilvl w:val="0"/>
          <w:numId w:val="2"/>
        </w:numPr>
        <w:spacing w:after="60" w:line="264"/>
      </w:pPr>
      <w:r>
        <w:rPr>
          <w:b/>
          <w:bCs/>
        </w:rPr>
        <w:t xml:space="preserve">Scope discipline. </w:t>
      </w:r>
      <w:r>
        <w:t xml:space="preserve">Four strong sub-projects (A–D) sharing one pipeline is realistic in 13 weeks with AI assistance. Attempting all five plus a full production recommender is the classic overreach.</w:t>
      </w:r>
    </w:p>
    <w:p>
      <w:pPr>
        <w:pStyle w:val="ListParagraph"/>
        <w:numPr>
          <w:ilvl w:val="0"/>
          <w:numId w:val="2"/>
        </w:numPr>
        <w:spacing w:after="60" w:line="264"/>
      </w:pPr>
      <w:r>
        <w:rPr>
          <w:b/>
          <w:bCs/>
        </w:rPr>
        <w:t xml:space="preserve">AI assistance helps most on code, debugging, explanation, and writing — least on judgement at the defense. </w:t>
      </w:r>
      <w:r>
        <w:t xml:space="preserve">Each member must understand their own method well enough to defend it without help.</w:t>
      </w:r>
    </w:p>
    <w:p>
      <w:pPr>
        <w:pStyle w:val="Heading1"/>
      </w:pPr>
      <w:r>
        <w:t xml:space="preserve">10. Suggested Tooling</w:t>
      </w:r>
    </w:p>
    <w:p>
      <w:pPr>
        <w:pStyle w:val="ListParagraph"/>
        <w:numPr>
          <w:ilvl w:val="0"/>
          <w:numId w:val="2"/>
        </w:numPr>
        <w:spacing w:after="60" w:line="264"/>
      </w:pPr>
      <w:r>
        <w:t xml:space="preserve">Storage / out-of-core: DuckDB or Polars + Parquet for the impression table.</w:t>
      </w:r>
    </w:p>
    <w:p>
      <w:pPr>
        <w:pStyle w:val="ListParagraph"/>
        <w:numPr>
          <w:ilvl w:val="0"/>
          <w:numId w:val="2"/>
        </w:numPr>
        <w:spacing w:after="60" w:line="264"/>
      </w:pPr>
      <w:r>
        <w:t xml:space="preserve">Tabular &amp; segmentation: scikit-learn, XGBoost, UMAP/HDBSCAN.</w:t>
      </w:r>
    </w:p>
    <w:p>
      <w:pPr>
        <w:pStyle w:val="ListParagraph"/>
        <w:numPr>
          <w:ilvl w:val="0"/>
          <w:numId w:val="2"/>
        </w:numPr>
        <w:spacing w:after="60" w:line="264"/>
      </w:pPr>
      <w:r>
        <w:t xml:space="preserve">Sequence models: PyTorch (GRU / Transformer); Colab or a single GPU on the sampled set.</w:t>
      </w:r>
    </w:p>
    <w:p>
      <w:pPr>
        <w:pStyle w:val="ListParagraph"/>
        <w:numPr>
          <w:ilvl w:val="0"/>
          <w:numId w:val="2"/>
        </w:numPr>
        <w:spacing w:after="60" w:line="264"/>
      </w:pPr>
      <w:r>
        <w:t xml:space="preserve">Survival: lifelines (Cox, discrete-time), optionally pycox/DeepSurv.</w:t>
      </w:r>
    </w:p>
    <w:p>
      <w:pPr>
        <w:pStyle w:val="ListParagraph"/>
        <w:numPr>
          <w:ilvl w:val="0"/>
          <w:numId w:val="2"/>
        </w:numPr>
        <w:spacing w:after="60" w:line="264"/>
      </w:pPr>
      <w:r>
        <w:t xml:space="preserve">Uplift / causal: econml, causalml.</w:t>
      </w:r>
    </w:p>
    <w:p>
      <w:pPr>
        <w:pStyle w:val="ListParagraph"/>
        <w:numPr>
          <w:ilvl w:val="0"/>
          <w:numId w:val="2"/>
        </w:numPr>
        <w:spacing w:after="60" w:line="264"/>
      </w:pPr>
      <w:r>
        <w:t xml:space="preserve">Recommender / off-policy: implicit or a small custom ranker; IPS / doubly-robust estimators.</w:t>
      </w:r>
    </w:p>
    <w:p>
      <w:pPr>
        <w:pStyle w:val="Heading1"/>
      </w:pPr>
      <w:r>
        <w:t xml:space="preserve">11. Immediate Next Steps</w:t>
      </w:r>
    </w:p>
    <w:p>
      <w:pPr>
        <w:pStyle w:val="ListParagraph"/>
        <w:numPr>
          <w:ilvl w:val="0"/>
          <w:numId w:val="5"/>
        </w:numPr>
        <w:spacing w:after="60" w:line="264"/>
      </w:pPr>
      <w:r>
        <w:t xml:space="preserve">Confirm team size (4 vs. 5) and assign Members A–D (and E if applicable) to the sub-projects, matching the strongest member to D.</w:t>
      </w:r>
    </w:p>
    <w:p>
      <w:pPr>
        <w:pStyle w:val="ListParagraph"/>
        <w:numPr>
          <w:ilvl w:val="0"/>
          <w:numId w:val="5"/>
        </w:numPr>
        <w:spacing w:after="60" w:line="264"/>
      </w:pPr>
      <w:r>
        <w:t xml:space="preserve">Stand up the shared repo/folder and have one person run the Parquet conversion of impression_data.csv.</w:t>
      </w:r>
    </w:p>
    <w:p>
      <w:pPr>
        <w:pStyle w:val="ListParagraph"/>
        <w:numPr>
          <w:ilvl w:val="0"/>
          <w:numId w:val="5"/>
        </w:numPr>
        <w:spacing w:after="60" w:line="264"/>
      </w:pPr>
      <w:r>
        <w:t xml:space="preserve">Agree the activeness threshold, early/label windows, and the fixed train/val/test split in writing.</w:t>
      </w:r>
    </w:p>
    <w:p>
      <w:pPr>
        <w:pStyle w:val="ListParagraph"/>
        <w:numPr>
          <w:ilvl w:val="0"/>
          <w:numId w:val="5"/>
        </w:numPr>
        <w:spacing w:after="60" w:line="264"/>
      </w:pPr>
      <w:r>
        <w:t xml:space="preserve">Replicate a basic XGBoost activeness baseline so every later model has a reference point.</w:t>
      </w:r>
    </w:p>
    <w:p>
      <w:pPr>
        <w:pStyle w:val="ListParagraph"/>
        <w:numPr>
          <w:ilvl w:val="0"/>
          <w:numId w:val="5"/>
        </w:numPr>
        <w:spacing w:after="60" w:line="264"/>
      </w:pPr>
      <w:r>
        <w:t xml:space="preserve">Draft a one-paragraph novelty statement per sub-project to bring to Meeting 1 with the advisor.</w:t>
      </w:r>
    </w:p>
    <w:p>
      <w:pPr>
        <w:spacing w:after="60"/>
      </w:pPr>
      <w:r>
        <w:t xml:space="preserve"/>
      </w:r>
    </w:p>
    <w:p>
      <w:pPr>
        <w:spacing w:after="140" w:line="276"/>
      </w:pPr>
      <w:r>
        <w:rPr>
          <w:i/>
          <w:iCs/>
          <w:color w:val="666666"/>
        </w:rPr>
        <w:t xml:space="preserve">This blueprint is a living document — revise the spine as the data reveals what is and isn't feasible, but keep the anti-overlap positioning and the shared-foundation discipline fixed.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Thesis Blueprint — Music Streaming Q2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abstractNum w:abstractNumId="5"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5C8A"/>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F3B57"/>
      <w:sz w:val="26"/>
      <w:szCs w:val="26"/>
    </w:rPr>
  </w:style>
  <w:style w:type="paragraph" w:styleId="Heading3">
    <w:name w:val="Heading 3"/>
    <w:basedOn w:val="Normal"/>
    <w:next w:val="Normal"/>
    <w:qFormat/>
    <w:pPr>
      <w:spacing w:after="80" w:before="14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Thesis Blueprint — Music Streaming Q2</dc:title>
  <dc:creator>Master Arbeit Team</dc:creator>
  <cp:lastModifiedBy>Un-named</cp:lastModifiedBy>
  <cp:revision>1</cp:revision>
  <dcterms:created xsi:type="dcterms:W3CDTF">2026-06-28T12:14:34.618Z</dcterms:created>
  <dcterms:modified xsi:type="dcterms:W3CDTF">2026-06-28T12:14:34.618Z</dcterms:modified>
</cp:coreProperties>
</file>

<file path=docProps/custom.xml><?xml version="1.0" encoding="utf-8"?>
<Properties xmlns="http://schemas.openxmlformats.org/officeDocument/2006/custom-properties" xmlns:vt="http://schemas.openxmlformats.org/officeDocument/2006/docPropsVTypes"/>
</file>