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Alpha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Beta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Gamma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Delta</w:t>
            </w:r>
            <w:r/>
          </w:p>
          <w:p>
            <w:pPr>
              <w:pBdr/>
              <w:spacing/>
              <w:ind/>
              <w:rPr/>
            </w:pPr>
            <w:r>
              <w:t xml:space="preserve">Delta2</w:t>
            </w:r>
            <w:r/>
          </w:p>
        </w:tc>
      </w:tr>
    </w:tbl>
    <w:tbl>
      <w:tblPr>
        <w:tblStyle w:val="12"/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266D009F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AA</w:t>
            </w:r>
            <w:r/>
          </w:p>
        </w:tc>
        <w:tc>
          <w:tcPr>
            <w:tcBorders/>
            <w:tcW w:w="2400" w:type="dxa"/>
          </w:tcPr>
          <w:p w14:paraId="283CB046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BB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