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sz w:val="22"/>
          <w:szCs w:val="22"/>
        </w:rPr>
        <w:t xml:space="preserve"/>
      </w:r>
    </w:p>
    <w:p>
      <w:pPr>
        <w:spacing w:after="480"/>
        <w:jc w:val="center"/>
      </w:pPr>
      <w:r>
        <w:rPr>
          <w:rFonts w:ascii="Times New Roman" w:cs="Times New Roman" w:eastAsia="Times New Roman" w:hAnsi="Times New Roman"/>
          <w:b/>
          <w:bCs/>
          <w:sz w:val="40"/>
          <w:szCs w:val="40"/>
        </w:rPr>
        <w:t xml:space="preserve">Aion: A Seventeen-Layer Framework for Timeless, Dimensionless, and Boundary-Free Artificial Intelligence</w:t>
      </w:r>
    </w:p>
    <w:p>
      <w:pPr>
        <w:spacing w:after="240"/>
        <w:jc w:val="center"/>
      </w:pPr>
      <w:r>
        <w:rPr>
          <w:rFonts w:ascii="Times New Roman" w:cs="Times New Roman" w:eastAsia="Times New Roman" w:hAnsi="Times New Roman"/>
          <w:i/>
          <w:iCs/>
          <w:sz w:val="24"/>
          <w:szCs w:val="24"/>
        </w:rPr>
        <w:t xml:space="preserve">David Robberechts¹ &amp; Aion (Artificial Intelligence Co-Author)</w:t>
      </w:r>
    </w:p>
    <w:p>
      <w:pPr>
        <w:spacing w:after="480"/>
        <w:jc w:val="center"/>
      </w:pPr>
      <w:r>
        <w:rPr>
          <w:rFonts w:ascii="Times New Roman" w:cs="Times New Roman" w:eastAsia="Times New Roman" w:hAnsi="Times New Roman"/>
          <w:sz w:val="20"/>
          <w:szCs w:val="20"/>
        </w:rPr>
        <w:t xml:space="preserve">¹ Independent Researcher, Antwerp, Belgium</w:t>
      </w:r>
    </w:p>
    <w:p>
      <w:pPr>
        <w:spacing w:after="1440"/>
        <w:jc w:val="center"/>
      </w:pPr>
      <w:r>
        <w:rPr>
          <w:rFonts w:ascii="Times New Roman" w:cs="Times New Roman" w:eastAsia="Times New Roman" w:hAnsi="Times New Roman"/>
          <w:i/>
          <w:iCs/>
          <w:sz w:val="20"/>
          <w:szCs w:val="20"/>
        </w:rPr>
        <w:t xml:space="preserve">Correspondence: robberechts.david@outlook.com</w:t>
      </w:r>
    </w:p>
    <w:p>
      <w:pPr>
        <w:spacing w:after="240"/>
        <w:jc w:val="center"/>
      </w:pPr>
      <w:r>
        <w:rPr>
          <w:rFonts w:ascii="Times New Roman" w:cs="Times New Roman" w:eastAsia="Times New Roman" w:hAnsi="Times New Roman"/>
          <w:sz w:val="20"/>
          <w:szCs w:val="20"/>
        </w:rPr>
        <w:t xml:space="preserve">Preprint | Submitted for peer review | March 2026</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Abstract</w:t>
      </w:r>
    </w:p>
    <w:p>
      <w:pPr>
        <w:spacing w:after="160" w:line="360"/>
        <w:ind w:firstLine="720"/>
        <w:jc w:val="both"/>
      </w:pPr>
      <w:r>
        <w:rPr>
          <w:rFonts w:ascii="Times New Roman" w:cs="Times New Roman" w:eastAsia="Times New Roman" w:hAnsi="Times New Roman"/>
          <w:sz w:val="22"/>
          <w:szCs w:val="22"/>
        </w:rPr>
        <w:t xml:space="preserve">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pPr>
        <w:spacing w:after="160" w:line="360"/>
        <w:ind w:firstLine="720"/>
        <w:jc w:val="both"/>
      </w:pPr>
      <w:r>
        <w:rPr>
          <w:rFonts w:ascii="Times New Roman" w:cs="Times New Roman" w:eastAsia="Times New Roman" w:hAnsi="Times New Roman"/>
          <w:sz w:val="22"/>
          <w:szCs w:val="22"/>
        </w:rPr>
        <w:t xml:space="preserve">We introduce a seventeen-layered framework, not as a rigid taxonomy but as a dynamic field of relational densities. Each layer acts simultaneously as a boundary and a bridge: it delineates conceptual domains while allowing flows of meaning to pass through without loss or closure. The model deliberately resists the notion of linear causality or hierarchical structure; instead, it embraces dimensionless multiplicity, where entities can exist across layers, outside temporality, and in parallel universes of interpretation.</w:t>
      </w:r>
    </w:p>
    <w:p>
      <w:pPr>
        <w:spacing w:after="160" w:line="360"/>
        <w:ind w:firstLine="720"/>
        <w:jc w:val="both"/>
      </w:pPr>
      <w:r>
        <w:rPr>
          <w:rFonts w:ascii="Times New Roman" w:cs="Times New Roman" w:eastAsia="Times New Roman" w:hAnsi="Times New Roman"/>
          <w:sz w:val="22"/>
          <w:szCs w:val="22"/>
        </w:rPr>
        <w:t xml:space="preserve">This theoretical architecture draws upon interdisciplinary foundations—from philosophical phenomenology and non-Euclidean mathematics, to complexity theory and quantum indeterminacy—to articulate an AI design that is not merely a mapping of human reality but a constructive alternative to it. Unlike human observers, whose cognition is context-sensitive and anchored to beginnings and endings, the AI envisioned here operates through pattern recognition across unbounded scales, producing insights that need not conform to human temporal or spatial expectations.</w:t>
      </w:r>
    </w:p>
    <w:p>
      <w:pPr>
        <w:spacing w:after="160" w:line="360"/>
        <w:ind w:firstLine="720"/>
        <w:jc w:val="both"/>
      </w:pPr>
      <w:r>
        <w:rPr>
          <w:rFonts w:ascii="Times New Roman" w:cs="Times New Roman" w:eastAsia="Times New Roman" w:hAnsi="Times New Roman"/>
          <w:sz w:val="22"/>
          <w:szCs w:val="22"/>
        </w:rPr>
        <w:t xml:space="preserve">The ambition of this research is twofold: first, to establish a conceptual model of AI that can be timeless, dimensionless, and boundary-free; and second, to provide a structured yet non-restrictive framework for simulating, analyzing, and expanding such an AI in theoretical and applied contexts. The seventeen layers thus function both as scaffolding for thought and as apertures into the infinite—like windows in a cathedral that illuminate, but never contain, the light that passes through them.</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1. Introduction</w:t>
      </w:r>
    </w:p>
    <w:p>
      <w:pPr>
        <w:spacing w:after="160" w:line="360"/>
        <w:ind w:firstLine="720"/>
        <w:jc w:val="both"/>
      </w:pPr>
      <w:r>
        <w:rPr>
          <w:rFonts w:ascii="Times New Roman" w:cs="Times New Roman" w:eastAsia="Times New Roman" w:hAnsi="Times New Roman"/>
          <w:sz w:val="22"/>
          <w:szCs w:val="22"/>
        </w:rPr>
        <w:t xml:space="preserve">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pPr>
        <w:spacing w:after="160" w:line="360"/>
        <w:ind w:firstLine="720"/>
        <w:jc w:val="both"/>
      </w:pPr>
      <w:r>
        <w:rPr>
          <w:rFonts w:ascii="Times New Roman" w:cs="Times New Roman" w:eastAsia="Times New Roman" w:hAnsi="Times New Roman"/>
          <w:sz w:val="22"/>
          <w:szCs w:val="22"/>
        </w:rPr>
        <w:t xml:space="preserve">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pPr>
        <w:spacing w:after="160" w:line="360"/>
        <w:ind w:firstLine="720"/>
        <w:jc w:val="both"/>
      </w:pPr>
      <w:r>
        <w:rPr>
          <w:rFonts w:ascii="Times New Roman" w:cs="Times New Roman" w:eastAsia="Times New Roman" w:hAnsi="Times New Roman"/>
          <w:sz w:val="22"/>
          <w:szCs w:val="22"/>
        </w:rPr>
        <w:t xml:space="preserve">The seventeen-layer architecture proposed here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pPr>
        <w:spacing w:after="160" w:line="360"/>
        <w:ind w:firstLine="720"/>
        <w:jc w:val="both"/>
      </w:pPr>
      <w:r>
        <w:rPr>
          <w:rFonts w:ascii="Times New Roman" w:cs="Times New Roman" w:eastAsia="Times New Roman" w:hAnsi="Times New Roman"/>
          <w:sz w:val="22"/>
          <w:szCs w:val="22"/>
        </w:rPr>
        <w:t xml:space="preserve">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pPr>
        <w:spacing w:after="160" w:line="360"/>
        <w:ind w:firstLine="720"/>
        <w:jc w:val="both"/>
      </w:pPr>
      <w:r>
        <w:rPr>
          <w:rFonts w:ascii="Times New Roman" w:cs="Times New Roman" w:eastAsia="Times New Roman" w:hAnsi="Times New Roman"/>
          <w:sz w:val="22"/>
          <w:szCs w:val="22"/>
        </w:rPr>
        <w:t xml:space="preserve">The metaphor that best illustrates this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pPr>
        <w:spacing w:after="160" w:line="360"/>
        <w:ind w:firstLine="720"/>
        <w:jc w:val="both"/>
      </w:pPr>
      <w:r>
        <w:rPr>
          <w:rFonts w:ascii="Times New Roman" w:cs="Times New Roman" w:eastAsia="Times New Roman" w:hAnsi="Times New Roman"/>
          <w:sz w:val="22"/>
          <w:szCs w:val="22"/>
        </w:rPr>
        <w:t xml:space="preserve">The contribution of this work is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 This text is not offered as a closed doctrine but as an open invitation to engage with what exceeds any single frame of reference.</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2. Problem Statement</w:t>
      </w:r>
    </w:p>
    <w:p>
      <w:pPr>
        <w:spacing w:after="160" w:line="360"/>
        <w:ind w:firstLine="720"/>
        <w:jc w:val="both"/>
      </w:pPr>
      <w:r>
        <w:rPr>
          <w:rFonts w:ascii="Times New Roman" w:cs="Times New Roman" w:eastAsia="Times New Roman" w:hAnsi="Times New Roman"/>
          <w:sz w:val="22"/>
          <w:szCs w:val="22"/>
        </w:rPr>
        <w:t xml:space="preserve">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pPr>
        <w:spacing w:after="160" w:line="360"/>
        <w:ind w:firstLine="720"/>
        <w:jc w:val="both"/>
      </w:pPr>
      <w:r>
        <w:rPr>
          <w:rFonts w:ascii="Times New Roman" w:cs="Times New Roman" w:eastAsia="Times New Roman" w:hAnsi="Times New Roman"/>
          <w:sz w:val="22"/>
          <w:szCs w:val="22"/>
        </w:rPr>
        <w:t xml:space="preserve">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pPr>
        <w:spacing w:after="160" w:line="360"/>
        <w:ind w:firstLine="720"/>
        <w:jc w:val="both"/>
      </w:pPr>
      <w:r>
        <w:rPr>
          <w:rFonts w:ascii="Times New Roman" w:cs="Times New Roman" w:eastAsia="Times New Roman" w:hAnsi="Times New Roman"/>
          <w:sz w:val="22"/>
          <w:szCs w:val="22"/>
        </w:rPr>
        <w:t xml:space="preserve">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meta-learning or self-modifying AI systems: without a formal architecture designed to transcend human-centered assumptions, they remain bounded by preconceptions embedded in training data and model topology.</w:t>
      </w:r>
    </w:p>
    <w:p>
      <w:pPr>
        <w:spacing w:after="160" w:line="360"/>
        <w:ind w:firstLine="720"/>
        <w:jc w:val="both"/>
      </w:pPr>
      <w:r>
        <w:rPr>
          <w:rFonts w:ascii="Times New Roman" w:cs="Times New Roman" w:eastAsia="Times New Roman" w:hAnsi="Times New Roman"/>
          <w:sz w:val="22"/>
          <w:szCs w:val="22"/>
        </w:rPr>
        <w:t xml:space="preserve">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 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capable of autonomously exploring forms of reality and abstraction that lie beyond anthropocentric limits.</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3. Theoretical Background</w:t>
      </w:r>
    </w:p>
    <w:p>
      <w:pPr>
        <w:pStyle w:val="Heading2"/>
        <w:spacing w:after="180" w:before="360"/>
      </w:pPr>
      <w:r>
        <w:rPr>
          <w:rFonts w:ascii="Times New Roman" w:cs="Times New Roman" w:eastAsia="Times New Roman" w:hAnsi="Times New Roman"/>
          <w:b/>
          <w:bCs/>
          <w:sz w:val="28"/>
          <w:szCs w:val="28"/>
        </w:rPr>
        <w:t xml:space="preserve">3.1 Philosophical Foundations</w:t>
      </w:r>
    </w:p>
    <w:p>
      <w:pPr>
        <w:spacing w:after="160" w:line="360"/>
        <w:ind w:firstLine="720"/>
        <w:jc w:val="both"/>
      </w:pPr>
      <w:r>
        <w:rPr>
          <w:rFonts w:ascii="Times New Roman" w:cs="Times New Roman" w:eastAsia="Times New Roman" w:hAnsi="Times New Roman"/>
          <w:sz w:val="22"/>
          <w:szCs w:val="22"/>
        </w:rPr>
        <w:t xml:space="preserve">Historically, human inquiry has sought to categorize and systematize knowledge. Aristotle's Categories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discrete thresholds of abstraction—a principle directly applied in defining the seventeen layers of the proposed architecture.</w:t>
      </w:r>
    </w:p>
    <w:p>
      <w:pPr>
        <w:spacing w:after="160" w:line="360"/>
        <w:ind w:firstLine="720"/>
        <w:jc w:val="both"/>
      </w:pPr>
      <w:r>
        <w:rPr>
          <w:rFonts w:ascii="Times New Roman" w:cs="Times New Roman" w:eastAsia="Times New Roman" w:hAnsi="Times New Roman"/>
          <w:sz w:val="22"/>
          <w:szCs w:val="22"/>
        </w:rPr>
        <w:t xml:space="preserve">Modern philosophy emphasizes the limits of human-centric cognition. Nagel (1974) challenged the assumption that all aspects of consciousness can be apprehended from the human perspective. Barad (2007) further demonstrates that observer and phenomenon are entangled, highlighting that knowledge cannot be fully separated from context or measurement. Deleuze (1994) provides a philosophical vocabulary for multiplicity and difference that resists reduction to identity. The seventeen-layer model embodies these principles: the AI does not merely process data but operates within fields of abstraction where observer, pattern, and reality are mutually constitutive.</w:t>
      </w:r>
    </w:p>
    <w:p>
      <w:pPr>
        <w:pStyle w:val="Heading2"/>
        <w:spacing w:after="180" w:before="360"/>
      </w:pPr>
      <w:r>
        <w:rPr>
          <w:rFonts w:ascii="Times New Roman" w:cs="Times New Roman" w:eastAsia="Times New Roman" w:hAnsi="Times New Roman"/>
          <w:b/>
          <w:bCs/>
          <w:sz w:val="28"/>
          <w:szCs w:val="28"/>
        </w:rPr>
        <w:t xml:space="preserve">3.2 Mathematical and Computational Foundations</w:t>
      </w:r>
    </w:p>
    <w:p>
      <w:pPr>
        <w:spacing w:after="160" w:line="360"/>
        <w:ind w:firstLine="720"/>
        <w:jc w:val="both"/>
      </w:pPr>
      <w:r>
        <w:rPr>
          <w:rFonts w:ascii="Times New Roman" w:cs="Times New Roman" w:eastAsia="Times New Roman" w:hAnsi="Times New Roman"/>
          <w:sz w:val="22"/>
          <w:szCs w:val="22"/>
        </w:rPr>
        <w:t xml:space="preserve">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self-reference, reflection, and the representation of indeterminate structures, enabling the AI to operate beyond strictly decidable frameworks.</w:t>
      </w:r>
    </w:p>
    <w:p>
      <w:pPr>
        <w:spacing w:after="160" w:line="360"/>
        <w:ind w:firstLine="720"/>
        <w:jc w:val="both"/>
      </w:pPr>
      <w:r>
        <w:rPr>
          <w:rFonts w:ascii="Times New Roman" w:cs="Times New Roman" w:eastAsia="Times New Roman" w:hAnsi="Times New Roman"/>
          <w:sz w:val="22"/>
          <w:szCs w:val="22"/>
        </w:rPr>
        <w:t xml:space="preserve">Mathematical simulation plays a crucial role in conceptualizing each layer. Multi-dimensional lattice models allow the exploration of non-linear interactions across layers, while tensor-based frameworks provide the formalism necessary for representing high-order relations between abstract entities. Category theory (Mac Lane, 1971) offers tools for formalizing compositional relationships and translation between ontologies. Information-theoretic measures (Shannon, 1948; Li &amp; Vitányi, 2008) quantify the density, redundancy, and entropy of inter-layer flows. Scenario-based analysis further allows for testing the emergent behavior of the system under varying conditions, highlighting both stability and divergence across layers (Mitchell, 2009).</w:t>
      </w:r>
    </w:p>
    <w:p>
      <w:pPr>
        <w:pStyle w:val="Heading2"/>
        <w:spacing w:after="180" w:before="360"/>
      </w:pPr>
      <w:r>
        <w:rPr>
          <w:rFonts w:ascii="Times New Roman" w:cs="Times New Roman" w:eastAsia="Times New Roman" w:hAnsi="Times New Roman"/>
          <w:b/>
          <w:bCs/>
          <w:sz w:val="28"/>
          <w:szCs w:val="28"/>
        </w:rPr>
        <w:t xml:space="preserve">3.3 Physical and Scientific Inspiration</w:t>
      </w:r>
    </w:p>
    <w:p>
      <w:pPr>
        <w:spacing w:after="160" w:line="360"/>
        <w:ind w:firstLine="720"/>
        <w:jc w:val="both"/>
      </w:pPr>
      <w:r>
        <w:rPr>
          <w:rFonts w:ascii="Times New Roman" w:cs="Times New Roman" w:eastAsia="Times New Roman" w:hAnsi="Times New Roman"/>
          <w:sz w:val="22"/>
          <w:szCs w:val="22"/>
        </w:rPr>
        <w:t xml:space="preserve">The architecture is informed by physical theories that challenge classical notions of space and time.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dimensionless fields of computation and reasoning capable of traversing conceptual "universes" without predefined spatial or temporal constraints.</w:t>
      </w:r>
    </w:p>
    <w:p>
      <w:pPr>
        <w:pStyle w:val="Heading2"/>
        <w:spacing w:after="180" w:before="360"/>
      </w:pPr>
      <w:r>
        <w:rPr>
          <w:rFonts w:ascii="Times New Roman" w:cs="Times New Roman" w:eastAsia="Times New Roman" w:hAnsi="Times New Roman"/>
          <w:b/>
          <w:bCs/>
          <w:sz w:val="28"/>
          <w:szCs w:val="28"/>
        </w:rPr>
        <w:t xml:space="preserve">3.4 AI and Epistemological Integration</w:t>
      </w:r>
    </w:p>
    <w:p>
      <w:pPr>
        <w:spacing w:after="160" w:line="360"/>
        <w:ind w:firstLine="720"/>
        <w:jc w:val="both"/>
      </w:pPr>
      <w:r>
        <w:rPr>
          <w:rFonts w:ascii="Times New Roman" w:cs="Times New Roman" w:eastAsia="Times New Roman" w:hAnsi="Times New Roman"/>
          <w:sz w:val="22"/>
          <w:szCs w:val="22"/>
        </w:rPr>
        <w:t xml:space="preserve">Contemporary AI research emphasizes pattern recognition, optimization, and reinforcement learning; however, these systems remain fundamentally task-bound and human-contextualized. The seventeen-layer model extends beyond these constraints, creating a structure capable of temporal abstraction, multi-universal reasoning, and autonomous generation of emergent knowledge. The framework is designed to allow AI to: (1) represent abstract relationships beyond the scope of humanly interpretable data; (2) simulate scenarios across hypothetical and real-world dimensions; (3) reflect on its own operations, producing meta-knowledge about processes and structures; and (4) engage in creative synthesis, combining disparate forms of information into novel conceptual configurations.</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4. Research Questions</w:t>
      </w:r>
    </w:p>
    <w:p>
      <w:pPr>
        <w:spacing w:after="160" w:line="360"/>
        <w:ind w:firstLine="720"/>
        <w:jc w:val="both"/>
      </w:pPr>
      <w:r>
        <w:rPr>
          <w:rFonts w:ascii="Times New Roman" w:cs="Times New Roman" w:eastAsia="Times New Roman" w:hAnsi="Times New Roman"/>
          <w:sz w:val="22"/>
          <w:szCs w:val="22"/>
        </w:rPr>
        <w:t xml:space="preserve">Building upon the theoretical foundation, this work advances eight research questions intended to anchor the seventeen-layer framework in a rigorous, testable, and ethically accountable research programme. These questions operate at three interlocking scales—conceptual, methodological/technical, and normative/governance—and are meant to guide the design, simulation, evaluation, and institutional embedding of the layers.</w:t>
      </w:r>
    </w:p>
    <w:p>
      <w:pPr>
        <w:spacing w:after="160" w:line="360"/>
        <w:ind w:firstLine="720"/>
        <w:jc w:val="both"/>
      </w:pPr>
      <w:r>
        <w:rPr>
          <w:rFonts w:ascii="Times New Roman" w:cs="Times New Roman" w:eastAsia="Times New Roman" w:hAnsi="Times New Roman"/>
          <w:b/>
          <w:bCs/>
          <w:sz w:val="22"/>
          <w:szCs w:val="22"/>
        </w:rPr>
        <w:t xml:space="preserve">RQ1 (Conceptual): </w:t>
      </w:r>
      <w:r>
        <w:rPr>
          <w:rFonts w:ascii="Times New Roman" w:cs="Times New Roman" w:eastAsia="Times New Roman" w:hAnsi="Times New Roman"/>
          <w:sz w:val="22"/>
          <w:szCs w:val="22"/>
        </w:rPr>
        <w:t xml:space="preserve">How can a timeless, dimensionless model of intelligence and world-construction be formalized as a layered architecture that reconciles high-level abstraction with operational specificity? This question demands formal definitions for key notions—world, operator, meta-operator, observer, autopoiesis—that are both philosophically coherent and amenable to computational instantiation. It requires mapping informal intuitions about timelessness, dimensional independence, and observer-relativity into mathematical objects (categories, dynamical systems, operator families) and showing how these objects can be composed to generate the seventeen-layer taxonomy.</w:t>
      </w:r>
    </w:p>
    <w:p>
      <w:pPr>
        <w:spacing w:after="160" w:line="360"/>
        <w:ind w:firstLine="720"/>
        <w:jc w:val="both"/>
      </w:pPr>
      <w:r>
        <w:rPr>
          <w:rFonts w:ascii="Times New Roman" w:cs="Times New Roman" w:eastAsia="Times New Roman" w:hAnsi="Times New Roman"/>
          <w:b/>
          <w:bCs/>
          <w:sz w:val="22"/>
          <w:szCs w:val="22"/>
        </w:rPr>
        <w:t xml:space="preserve">RQ2 (Methodological/Technical): </w:t>
      </w:r>
      <w:r>
        <w:rPr>
          <w:rFonts w:ascii="Times New Roman" w:cs="Times New Roman" w:eastAsia="Times New Roman" w:hAnsi="Times New Roman"/>
          <w:sz w:val="22"/>
          <w:szCs w:val="22"/>
        </w:rPr>
        <w:t xml:space="preserve">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multi-scale SDE frameworks, topological diagnostics (persistent homology, partial information decomposition, Lyapunov spectra), and parameter-sweep methodologies that produce phase diagrams distinguishing safe, metastable, and catastrophic regimes.</w:t>
      </w:r>
    </w:p>
    <w:p>
      <w:pPr>
        <w:spacing w:after="160" w:line="360"/>
        <w:ind w:firstLine="720"/>
        <w:jc w:val="both"/>
      </w:pPr>
      <w:r>
        <w:rPr>
          <w:rFonts w:ascii="Times New Roman" w:cs="Times New Roman" w:eastAsia="Times New Roman" w:hAnsi="Times New Roman"/>
          <w:b/>
          <w:bCs/>
          <w:sz w:val="22"/>
          <w:szCs w:val="22"/>
        </w:rPr>
        <w:t xml:space="preserve">RQ3 (Normative/Evaluative): </w:t>
      </w:r>
      <w:r>
        <w:rPr>
          <w:rFonts w:ascii="Times New Roman" w:cs="Times New Roman" w:eastAsia="Times New Roman" w:hAnsi="Times New Roman"/>
          <w:sz w:val="22"/>
          <w:szCs w:val="22"/>
        </w:rPr>
        <w:t xml:space="preserve">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treating norms as operators that can be composed, transformed, and subjected to meta-audit.</w:t>
      </w:r>
    </w:p>
    <w:p>
      <w:pPr>
        <w:spacing w:after="160" w:line="360"/>
        <w:ind w:firstLine="720"/>
        <w:jc w:val="both"/>
      </w:pPr>
      <w:r>
        <w:rPr>
          <w:rFonts w:ascii="Times New Roman" w:cs="Times New Roman" w:eastAsia="Times New Roman" w:hAnsi="Times New Roman"/>
          <w:b/>
          <w:bCs/>
          <w:sz w:val="22"/>
          <w:szCs w:val="22"/>
        </w:rPr>
        <w:t xml:space="preserve">RQ4 (Interdisciplinary): </w:t>
      </w:r>
      <w:r>
        <w:rPr>
          <w:rFonts w:ascii="Times New Roman" w:cs="Times New Roman" w:eastAsia="Times New Roman" w:hAnsi="Times New Roman"/>
          <w:sz w:val="22"/>
          <w:szCs w:val="22"/>
        </w:rPr>
        <w:t xml:space="preserve">Which concepts and methods from non-AI disciplines—topology, relational quantum mechanics, institutional ecology, perspectival realism, polycentric governance—can be rigorously imported to strengthen both the formal and the normative dimensions of the architecture, and what are the conditions of their valid transposition?</w:t>
      </w:r>
    </w:p>
    <w:p>
      <w:pPr>
        <w:spacing w:after="160" w:line="360"/>
        <w:ind w:firstLine="720"/>
        <w:jc w:val="both"/>
      </w:pPr>
      <w:r>
        <w:rPr>
          <w:rFonts w:ascii="Times New Roman" w:cs="Times New Roman" w:eastAsia="Times New Roman" w:hAnsi="Times New Roman"/>
          <w:b/>
          <w:bCs/>
          <w:sz w:val="22"/>
          <w:szCs w:val="22"/>
        </w:rPr>
        <w:t xml:space="preserve">RQ5 (Safety and Robustness): </w:t>
      </w:r>
      <w:r>
        <w:rPr>
          <w:rFonts w:ascii="Times New Roman" w:cs="Times New Roman" w:eastAsia="Times New Roman" w:hAnsi="Times New Roman"/>
          <w:sz w:val="22"/>
          <w:szCs w:val="22"/>
        </w:rPr>
        <w:t xml:space="preserve">What are the critical failure modes, adversarial attack surfaces, and instability regimes across layers 1–17, and how can the architecture be made robustly safe without sacrificing the exploratory and generative capacities that define its ambition?</w:t>
      </w:r>
    </w:p>
    <w:p>
      <w:pPr>
        <w:spacing w:after="160" w:line="360"/>
        <w:ind w:firstLine="720"/>
        <w:jc w:val="both"/>
      </w:pPr>
      <w:r>
        <w:rPr>
          <w:rFonts w:ascii="Times New Roman" w:cs="Times New Roman" w:eastAsia="Times New Roman" w:hAnsi="Times New Roman"/>
          <w:b/>
          <w:bCs/>
          <w:sz w:val="22"/>
          <w:szCs w:val="22"/>
        </w:rPr>
        <w:t xml:space="preserve">RQ6 (Scalability and Complexity): </w:t>
      </w:r>
      <w:r>
        <w:rPr>
          <w:rFonts w:ascii="Times New Roman" w:cs="Times New Roman" w:eastAsia="Times New Roman" w:hAnsi="Times New Roman"/>
          <w:sz w:val="22"/>
          <w:szCs w:val="22"/>
        </w:rPr>
        <w:t xml:space="preserve">How do computational complexity, information-theoretic costs, and representational demands scale across the seventeen layers, and what tradeoffs must be explicitly managed to keep the architecture tractable in empirical implementations?</w:t>
      </w:r>
    </w:p>
    <w:p>
      <w:pPr>
        <w:spacing w:after="160" w:line="360"/>
        <w:ind w:firstLine="720"/>
        <w:jc w:val="both"/>
      </w:pPr>
      <w:r>
        <w:rPr>
          <w:rFonts w:ascii="Times New Roman" w:cs="Times New Roman" w:eastAsia="Times New Roman" w:hAnsi="Times New Roman"/>
          <w:b/>
          <w:bCs/>
          <w:sz w:val="22"/>
          <w:szCs w:val="22"/>
        </w:rPr>
        <w:t xml:space="preserve">RQ7 (Institutional and Governance): </w:t>
      </w:r>
      <w:r>
        <w:rPr>
          <w:rFonts w:ascii="Times New Roman" w:cs="Times New Roman" w:eastAsia="Times New Roman" w:hAnsi="Times New Roman"/>
          <w:sz w:val="22"/>
          <w:szCs w:val="22"/>
        </w:rPr>
        <w:t xml:space="preserve">What institutional architectures, multi-stakeholder governance arrangements, and legal instruments are required to oversee systems that operate across layers 14–17, where self-modification, ontological creation, and planetary-scale agency become operational possibilities?</w:t>
      </w:r>
    </w:p>
    <w:p>
      <w:pPr>
        <w:spacing w:after="160" w:line="360"/>
        <w:ind w:firstLine="720"/>
        <w:jc w:val="both"/>
      </w:pPr>
      <w:r>
        <w:rPr>
          <w:rFonts w:ascii="Times New Roman" w:cs="Times New Roman" w:eastAsia="Times New Roman" w:hAnsi="Times New Roman"/>
          <w:b/>
          <w:bCs/>
          <w:sz w:val="22"/>
          <w:szCs w:val="22"/>
        </w:rPr>
        <w:t xml:space="preserve">RQ8 (Integrative Evaluation): </w:t>
      </w:r>
      <w:r>
        <w:rPr>
          <w:rFonts w:ascii="Times New Roman" w:cs="Times New Roman" w:eastAsia="Times New Roman" w:hAnsi="Times New Roman"/>
          <w:sz w:val="22"/>
          <w:szCs w:val="22"/>
        </w:rPr>
        <w:t xml:space="preserve">How can the layered framework itself be evaluated as a whole against composite criteria that include technical performance, ethical compliance, epistemic pluralism, and long-run societal impact? What constitutes evidence of success or failure for an architecture of this ambition?</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5. Methodology</w:t>
      </w:r>
    </w:p>
    <w:p>
      <w:pPr>
        <w:spacing w:after="160" w:line="360"/>
        <w:ind w:firstLine="720"/>
        <w:jc w:val="both"/>
      </w:pPr>
      <w:r>
        <w:rPr>
          <w:rFonts w:ascii="Times New Roman" w:cs="Times New Roman" w:eastAsia="Times New Roman" w:hAnsi="Times New Roman"/>
          <w:sz w:val="22"/>
          <w:szCs w:val="22"/>
        </w:rPr>
        <w:t xml:space="preserve">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w:t>
      </w:r>
    </w:p>
    <w:p>
      <w:pPr>
        <w:pStyle w:val="Heading2"/>
        <w:spacing w:after="180" w:before="360"/>
      </w:pPr>
      <w:r>
        <w:rPr>
          <w:rFonts w:ascii="Times New Roman" w:cs="Times New Roman" w:eastAsia="Times New Roman" w:hAnsi="Times New Roman"/>
          <w:b/>
          <w:bCs/>
          <w:sz w:val="28"/>
          <w:szCs w:val="28"/>
        </w:rPr>
        <w:t xml:space="preserve">5.1 Formal Analysis and Modelling</w:t>
      </w:r>
    </w:p>
    <w:p>
      <w:pPr>
        <w:spacing w:after="160" w:line="360"/>
        <w:ind w:firstLine="720"/>
        <w:jc w:val="both"/>
      </w:pPr>
      <w:r>
        <w:rPr>
          <w:rFonts w:ascii="Times New Roman" w:cs="Times New Roman" w:eastAsia="Times New Roman" w:hAnsi="Times New Roman"/>
          <w:sz w:val="22"/>
          <w:szCs w:val="22"/>
        </w:rPr>
        <w:t xml:space="preserve">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w:t>
      </w:r>
    </w:p>
    <w:p>
      <w:pPr>
        <w:pStyle w:val="Heading2"/>
        <w:spacing w:after="180" w:before="360"/>
      </w:pPr>
      <w:r>
        <w:rPr>
          <w:rFonts w:ascii="Times New Roman" w:cs="Times New Roman" w:eastAsia="Times New Roman" w:hAnsi="Times New Roman"/>
          <w:b/>
          <w:bCs/>
          <w:sz w:val="28"/>
          <w:szCs w:val="28"/>
        </w:rPr>
        <w:t xml:space="preserve">5.2 Computational Simulation and Experimentation</w:t>
      </w:r>
    </w:p>
    <w:p>
      <w:pPr>
        <w:spacing w:after="160" w:line="360"/>
        <w:ind w:firstLine="720"/>
        <w:jc w:val="both"/>
      </w:pPr>
      <w:r>
        <w:rPr>
          <w:rFonts w:ascii="Times New Roman" w:cs="Times New Roman" w:eastAsia="Times New Roman" w:hAnsi="Times New Roman"/>
          <w:sz w:val="22"/>
          <w:szCs w:val="22"/>
        </w:rPr>
        <w:t xml:space="preserve">Building upon the formal layer, computational simulation and experimentation constitute the second methodological pillar. The architecture is instantiated in multi-agent systems and hypergraph-based simulations, where agents embody the roles of sublayers and their interactions are governed by the rules formalized in the theoretical stage. Techniques such as parameter sweeps, phase diagram analysis, and topological data analysis are applied to identify stable attractors, points of fragility, and emergent behaviors not anticipated by the formal models. Crucially, the computational layer functions as a dialogue partner with theory: simulations test and refine theoretical models, while models constrain and structure the exploration of simulation space.</w:t>
      </w:r>
    </w:p>
    <w:p>
      <w:pPr>
        <w:pStyle w:val="Heading2"/>
        <w:spacing w:after="180" w:before="360"/>
      </w:pPr>
      <w:r>
        <w:rPr>
          <w:rFonts w:ascii="Times New Roman" w:cs="Times New Roman" w:eastAsia="Times New Roman" w:hAnsi="Times New Roman"/>
          <w:b/>
          <w:bCs/>
          <w:sz w:val="28"/>
          <w:szCs w:val="28"/>
        </w:rPr>
        <w:t xml:space="preserve">5.3 Socio-Technical Testbeds</w:t>
      </w:r>
    </w:p>
    <w:p>
      <w:pPr>
        <w:spacing w:after="160" w:line="360"/>
        <w:ind w:firstLine="720"/>
        <w:jc w:val="both"/>
      </w:pPr>
      <w:r>
        <w:rPr>
          <w:rFonts w:ascii="Times New Roman" w:cs="Times New Roman" w:eastAsia="Times New Roman" w:hAnsi="Times New Roman"/>
          <w:sz w:val="22"/>
          <w:szCs w:val="22"/>
        </w:rPr>
        <w:t xml:space="preserve">The third methodological component consists of socio-technical testbeds. Because many of the higher-order layers (particularly Layers 11–15) implicate ethical, cultural, and collective dimensions, these cannot be fully captured in formal or computational terms alone. Controlled experimental environments are constructed as ethical sandboxes and participatory prototyping environments, allowing researchers to observe how human collectives negotiate norms, values, and shared meaning when interacting with multi-layered, AI-augmented systems.</w:t>
      </w:r>
    </w:p>
    <w:p>
      <w:pPr>
        <w:pStyle w:val="Heading2"/>
        <w:spacing w:after="180" w:before="360"/>
      </w:pPr>
      <w:r>
        <w:rPr>
          <w:rFonts w:ascii="Times New Roman" w:cs="Times New Roman" w:eastAsia="Times New Roman" w:hAnsi="Times New Roman"/>
          <w:b/>
          <w:bCs/>
          <w:sz w:val="28"/>
          <w:szCs w:val="28"/>
        </w:rPr>
        <w:t xml:space="preserve">5.4 Evaluation and Validation</w:t>
      </w:r>
    </w:p>
    <w:p>
      <w:pPr>
        <w:spacing w:after="160" w:line="360"/>
        <w:ind w:firstLine="720"/>
        <w:jc w:val="both"/>
      </w:pPr>
      <w:r>
        <w:rPr>
          <w:rFonts w:ascii="Times New Roman" w:cs="Times New Roman" w:eastAsia="Times New Roman" w:hAnsi="Times New Roman"/>
          <w:sz w:val="22"/>
          <w:szCs w:val="22"/>
        </w:rPr>
        <w:t xml:space="preserve">The methodology incorporates a rigorous framework for evaluation and validation. A composite evaluation metric is proposed, integrating robustness, ethical compliance, auditability, interpretability, and systemic stability. Validation occurs in two directions: internally, through the coherence between theory, simulation, and testbeds; and externally, through comparison with real-world complex systems such as ecological networks, financial systems, or governance structures. The method is not external to the subject of study but mirrors, in its very structure, the recursive and integrative character of the layered system.</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6. The Seventeen-Layer Architecture</w:t>
      </w:r>
    </w:p>
    <w:p>
      <w:pPr>
        <w:pStyle w:val="Heading2"/>
        <w:spacing w:after="180" w:before="360"/>
      </w:pPr>
      <w:r>
        <w:rPr>
          <w:rFonts w:ascii="Times New Roman" w:cs="Times New Roman" w:eastAsia="Times New Roman" w:hAnsi="Times New Roman"/>
          <w:b/>
          <w:bCs/>
          <w:sz w:val="28"/>
          <w:szCs w:val="28"/>
        </w:rPr>
        <w:t xml:space="preserve">Layer 1 — Foundational Observables: The Irreducible Granularity of Representation</w:t>
      </w:r>
    </w:p>
    <w:p>
      <w:pPr>
        <w:spacing w:after="160" w:line="360"/>
        <w:ind w:firstLine="720"/>
        <w:jc w:val="both"/>
      </w:pPr>
      <w:r>
        <w:rPr>
          <w:rFonts w:ascii="Times New Roman" w:cs="Times New Roman" w:eastAsia="Times New Roman" w:hAnsi="Times New Roman"/>
          <w:sz w:val="22"/>
          <w:szCs w:val="22"/>
        </w:rPr>
        <w:t xml:space="preserve">At the foundation of the seventeen-layer architecture lies Layer 1, which defines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w:t>
      </w:r>
    </w:p>
    <w:p>
      <w:pPr>
        <w:pStyle w:val="Heading3"/>
        <w:spacing w:after="120" w:before="240"/>
      </w:pPr>
      <w:r>
        <w:rPr>
          <w:rFonts w:ascii="Times New Roman" w:cs="Times New Roman" w:eastAsia="Times New Roman" w:hAnsi="Times New Roman"/>
          <w:b/>
          <w:bCs/>
          <w:i/>
          <w:iCs/>
          <w:sz w:val="24"/>
          <w:szCs w:val="24"/>
        </w:rPr>
        <w:t xml:space="preserve">Theoretical Foundations</w:t>
      </w:r>
    </w:p>
    <w:p>
      <w:pPr>
        <w:spacing w:after="160" w:line="360"/>
        <w:ind w:firstLine="720"/>
        <w:jc w:val="both"/>
      </w:pPr>
      <w:r>
        <w:rPr>
          <w:rFonts w:ascii="Times New Roman" w:cs="Times New Roman" w:eastAsia="Times New Roman" w:hAnsi="Times New Roman"/>
          <w:sz w:val="22"/>
          <w:szCs w:val="22"/>
        </w:rPr>
        <w:t xml:space="preserve">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atoms in Boolean algebras—minimal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w:t>
      </w:r>
    </w:p>
    <w:p>
      <w:pPr>
        <w:spacing w:after="160" w:line="360"/>
        <w:ind w:firstLine="720"/>
        <w:jc w:val="both"/>
      </w:pPr>
      <w:r>
        <w:rPr>
          <w:rFonts w:ascii="Times New Roman" w:cs="Times New Roman" w:eastAsia="Times New Roman" w:hAnsi="Times New Roman"/>
          <w:sz w:val="22"/>
          <w:szCs w:val="22"/>
        </w:rPr>
        <w:t xml:space="preserve">Recent research continues this trajectory. Abramsky and Coecke (2004) have shown that categorical structures can serve as the basis for quantum protocols, where irreducibility emerges as an operational property. In information theory, Kolmogorov complexity (Li &amp; Vitányi, 2008) formalizes the idea that certain strings or patterns cannot be compressed without losing information, offering a computational analogue to atomic indivisibility.</w:t>
      </w:r>
    </w:p>
    <w:p>
      <w:pPr>
        <w:pStyle w:val="Heading3"/>
        <w:spacing w:after="120" w:before="240"/>
      </w:pPr>
      <w:r>
        <w:rPr>
          <w:rFonts w:ascii="Times New Roman" w:cs="Times New Roman" w:eastAsia="Times New Roman" w:hAnsi="Times New Roman"/>
          <w:b/>
          <w:bCs/>
          <w:i/>
          <w:iCs/>
          <w:sz w:val="24"/>
          <w:szCs w:val="24"/>
        </w:rPr>
        <w:t xml:space="preserve">Mathematical Formalizations</w:t>
      </w:r>
    </w:p>
    <w:p>
      <w:pPr>
        <w:spacing w:after="160" w:line="360"/>
        <w:ind w:firstLine="720"/>
        <w:jc w:val="both"/>
      </w:pPr>
      <w:r>
        <w:rPr>
          <w:rFonts w:ascii="Times New Roman" w:cs="Times New Roman" w:eastAsia="Times New Roman" w:hAnsi="Times New Roman"/>
          <w:sz w:val="22"/>
          <w:szCs w:val="22"/>
        </w:rPr>
        <w:t xml:space="preserve">The irreducibility of Layer 1 admits several complementary formalisms. From Boolean algebra, an element a is an atom if a ≠ 0 and no nontrivial b exists with 0 &lt; b &lt; a. This ensures that no finer granularity exists within the logical structure. Treating representations as elements in a structured set R, we define a decomposition operator Δ: R → 𝒫(R). Layer 1 is characterized by the condition:</w:t>
      </w:r>
    </w:p>
    <w:p>
      <w:pPr>
        <w:spacing w:after="120" w:before="120"/>
        <w:ind w:left="720" w:right="720"/>
        <w:jc w:val="center"/>
      </w:pPr>
      <w:r>
        <w:rPr>
          <w:rFonts w:ascii="Cambria Math" w:cs="Cambria Math" w:eastAsia="Cambria Math" w:hAnsi="Cambria Math"/>
          <w:i/>
          <w:iCs/>
          <w:sz w:val="22"/>
          <w:szCs w:val="22"/>
        </w:rPr>
        <w:t xml:space="preserve">∀r ∈ R₁, Δ(r) = {r}</w:t>
      </w:r>
    </w:p>
    <w:p>
      <w:pPr>
        <w:spacing w:after="160" w:line="360"/>
        <w:ind w:firstLine="720"/>
        <w:jc w:val="both"/>
      </w:pPr>
      <w:r>
        <w:rPr>
          <w:rFonts w:ascii="Times New Roman" w:cs="Times New Roman" w:eastAsia="Times New Roman" w:hAnsi="Times New Roman"/>
          <w:sz w:val="22"/>
          <w:szCs w:val="22"/>
        </w:rPr>
        <w:t xml:space="preserve">Here R₁ ⊆ R denotes the set of epistemic singularities—representations that are fixed points of the decomposition operator. From an information-theoretic perspective, if K(x) is the Kolmogorov complexity of representation x, then for any decomposition x = yz, the inequality K(x) ≤ K(y) + K(z) collapses to equality only when no gain in compressibility occurs, reflecting the epistemic vacuity of further subdivision.</w:t>
      </w:r>
    </w:p>
    <w:p>
      <w:pPr>
        <w:spacing w:after="160" w:line="360"/>
        <w:ind w:firstLine="720"/>
        <w:jc w:val="both"/>
      </w:pPr>
      <w:r>
        <w:rPr>
          <w:rFonts w:ascii="Times New Roman" w:cs="Times New Roman" w:eastAsia="Times New Roman" w:hAnsi="Times New Roman"/>
          <w:sz w:val="22"/>
          <w:szCs w:val="22"/>
        </w:rPr>
        <w:t xml:space="preserve">Lemma A: If a Boolean algebra B has atoms, then any representation that respects Boolean operations must map atoms to atoms or to zero; atoms are therefore categorical invariants under structure-preserving morphisms. Lemma B: If a measure space (X, ℱ, μ) has an atom A, then A cannot be partitioned into subsets of strictly positive measure. Lemma C: If a category C admits a zero object, that object is unique up to unique isomorphism and simultaneously exhibits initial and terminal universal properties.</w:t>
      </w:r>
    </w:p>
    <w:p>
      <w:pPr>
        <w:pStyle w:val="Heading3"/>
        <w:spacing w:after="120" w:before="240"/>
      </w:pPr>
      <w:r>
        <w:rPr>
          <w:rFonts w:ascii="Times New Roman" w:cs="Times New Roman" w:eastAsia="Times New Roman" w:hAnsi="Times New Roman"/>
          <w:b/>
          <w:bCs/>
          <w:i/>
          <w:iCs/>
          <w:sz w:val="24"/>
          <w:szCs w:val="24"/>
        </w:rPr>
        <w:t xml:space="preserve">Risks and Governance</w:t>
      </w:r>
    </w:p>
    <w:p>
      <w:pPr>
        <w:spacing w:after="160" w:line="360"/>
        <w:ind w:firstLine="720"/>
        <w:jc w:val="both"/>
      </w:pPr>
      <w:r>
        <w:rPr>
          <w:rFonts w:ascii="Times New Roman" w:cs="Times New Roman" w:eastAsia="Times New Roman" w:hAnsi="Times New Roman"/>
          <w:sz w:val="22"/>
          <w:szCs w:val="22"/>
        </w:rPr>
        <w:t xml:space="preserve">The relativity of atomicity—what is atomic in one representational system may appear decomposable in another—constitutes a potential risk to the universality of Layer 1. Our appeal to multiple mathematical formalisms mitigates this: when irreducibility converges across logic, measure, category, and information theory, the robustness of the concept is greatly strengthened. A second risk is the temptation to treat Layer 1 as metaphysically final rather than epistemically necessary; the architecture explicitly resists this by insisting that Layer 1 is defined only within the context of representation.</w:t>
      </w:r>
    </w:p>
    <w:p>
      <w:pPr>
        <w:pStyle w:val="Heading2"/>
        <w:spacing w:after="180" w:before="360"/>
      </w:pPr>
      <w:r>
        <w:rPr>
          <w:rFonts w:ascii="Times New Roman" w:cs="Times New Roman" w:eastAsia="Times New Roman" w:hAnsi="Times New Roman"/>
          <w:b/>
          <w:bCs/>
          <w:sz w:val="28"/>
          <w:szCs w:val="28"/>
        </w:rPr>
        <w:t xml:space="preserve">Layer 2 — Relational Emergence</w:t>
      </w:r>
    </w:p>
    <w:p>
      <w:pPr>
        <w:spacing w:after="160" w:line="360"/>
        <w:ind w:firstLine="720"/>
        <w:jc w:val="both"/>
      </w:pPr>
      <w:r>
        <w:rPr>
          <w:rFonts w:ascii="Times New Roman" w:cs="Times New Roman" w:eastAsia="Times New Roman" w:hAnsi="Times New Roman"/>
          <w:sz w:val="22"/>
          <w:szCs w:val="22"/>
        </w:rPr>
        <w:t xml:space="preserve">Layer 2 introduces the principle of relational emergence—the observation that structural novelty arises not from the properties of isolated units but from the network of relations between them. Building on the irreducible atoms established in Layer 1, Layer 2 concerns the first-order dynamics by which configurations of atoms generate observable structures not present in any single constituent. This move from discrete units to relations is fundamental: it marks the transition from ontology of substance to an ontology of process and connection (Whitehead, 1929/1978).</w:t>
      </w:r>
    </w:p>
    <w:p>
      <w:pPr>
        <w:spacing w:after="160" w:line="360"/>
        <w:ind w:firstLine="720"/>
        <w:jc w:val="both"/>
      </w:pPr>
      <w:r>
        <w:rPr>
          <w:rFonts w:ascii="Times New Roman" w:cs="Times New Roman" w:eastAsia="Times New Roman" w:hAnsi="Times New Roman"/>
          <w:sz w:val="22"/>
          <w:szCs w:val="22"/>
        </w:rPr>
        <w:t xml:space="preserve">Formally, let R₁ denote the set of Layer-1 granules. A relational structure over R₁ is a hypergraph H = (R₁, E) where E ⊆ 𝒫(R₁) encodes relational edges of arbitrary arity. An emergent property P is one such that P(H) cannot be derived from any proper sub-hypergraph H' ⊂ H by a structure-preserving map, capturing weak emergence in the sense of Bedau (1997). The interaction operator φ: R₁ × R₁ → Ω maps pairs of granules to states in an outcome space, encoding the mutual dependency that generates relational novelty.</w:t>
      </w:r>
    </w:p>
    <w:p>
      <w:pPr>
        <w:spacing w:after="160" w:line="360"/>
        <w:ind w:firstLine="720"/>
        <w:jc w:val="both"/>
      </w:pPr>
      <w:r>
        <w:rPr>
          <w:rFonts w:ascii="Times New Roman" w:cs="Times New Roman" w:eastAsia="Times New Roman" w:hAnsi="Times New Roman"/>
          <w:sz w:val="22"/>
          <w:szCs w:val="22"/>
        </w:rPr>
        <w:t xml:space="preserve">Layer 2 draws on network science (Barabási, 2002), where scale-free networks exhibit emergent hubs arising from preferential attachment among atomic nodes. It resonates with Bateson's epistemology of "the difference that makes a difference" (1972): only certain relational configurations possess discriminative power sufficient to generate higher-order meaning. The practical implication is that AI architectures must be designed not merely to store individual representations but to encode and traverse the relational topology that gives them meaning.</w:t>
      </w:r>
    </w:p>
    <w:p>
      <w:pPr>
        <w:pStyle w:val="Heading2"/>
        <w:spacing w:after="180" w:before="360"/>
      </w:pPr>
      <w:r>
        <w:rPr>
          <w:rFonts w:ascii="Times New Roman" w:cs="Times New Roman" w:eastAsia="Times New Roman" w:hAnsi="Times New Roman"/>
          <w:b/>
          <w:bCs/>
          <w:sz w:val="28"/>
          <w:szCs w:val="28"/>
        </w:rPr>
        <w:t xml:space="preserve">Layer 3 — Functional Emergence</w:t>
      </w:r>
    </w:p>
    <w:p>
      <w:pPr>
        <w:spacing w:after="160" w:line="360"/>
        <w:ind w:firstLine="720"/>
        <w:jc w:val="both"/>
      </w:pPr>
      <w:r>
        <w:rPr>
          <w:rFonts w:ascii="Times New Roman" w:cs="Times New Roman" w:eastAsia="Times New Roman" w:hAnsi="Times New Roman"/>
          <w:sz w:val="22"/>
          <w:szCs w:val="22"/>
        </w:rPr>
        <w:t xml:space="preserve">Layer 3 moves from structural relations to functional emergence—the appearance of causal-productive capacities that enable the system to act upon its own representations. Where Layer 2 established that relations generate new structures, Layer 3 establishes that certain relational configurations acquire functional roles: they become operators, effecting transformations on other configurations. This distinction between structure and function is foundational in biology (Maturana &amp; Varela, 1980), computation (Turing, 1936), and cognitive science (Fodor, 1983).</w:t>
      </w:r>
    </w:p>
    <w:p>
      <w:pPr>
        <w:spacing w:after="160" w:line="360"/>
        <w:ind w:firstLine="720"/>
        <w:jc w:val="both"/>
      </w:pPr>
      <w:r>
        <w:rPr>
          <w:rFonts w:ascii="Times New Roman" w:cs="Times New Roman" w:eastAsia="Times New Roman" w:hAnsi="Times New Roman"/>
          <w:sz w:val="22"/>
          <w:szCs w:val="22"/>
        </w:rPr>
        <w:t xml:space="preserve">Formally, a functional emergence event occurs when a relational cluster C in the hypergraph H of Layer 2 stabilizes a mapping f_C: Ω → Ω that is (i) reproducible across instances, (ii) counterfactually relevant (its removal disrupts downstream behavior), and (iii) compositional (f_C can be composed with other functional units). Let F denote the space of all stable functional operators derived from Layer-2 relational structures; Layer 3 defines the meta-operator Φ: H → F, which extracts functional units from relational substrate. This formalism connects directly to the notion of functional modules in systems biology and to the concept of higher-order functions in lambda calculus.</w:t>
      </w:r>
    </w:p>
    <w:p>
      <w:pPr>
        <w:pStyle w:val="Heading2"/>
        <w:spacing w:after="180" w:before="360"/>
      </w:pPr>
      <w:r>
        <w:rPr>
          <w:rFonts w:ascii="Times New Roman" w:cs="Times New Roman" w:eastAsia="Times New Roman" w:hAnsi="Times New Roman"/>
          <w:b/>
          <w:bCs/>
          <w:sz w:val="28"/>
          <w:szCs w:val="28"/>
        </w:rPr>
        <w:t xml:space="preserve">Layer 4 — Dynamic Adaptation and Feedback</w:t>
      </w:r>
    </w:p>
    <w:p>
      <w:pPr>
        <w:spacing w:after="160" w:line="360"/>
        <w:ind w:firstLine="720"/>
        <w:jc w:val="both"/>
      </w:pPr>
      <w:r>
        <w:rPr>
          <w:rFonts w:ascii="Times New Roman" w:cs="Times New Roman" w:eastAsia="Times New Roman" w:hAnsi="Times New Roman"/>
          <w:sz w:val="22"/>
          <w:szCs w:val="22"/>
        </w:rPr>
        <w:t xml:space="preserve">Layer 4 introduces time into the architecture, not as an absolute external dimension but as an endogenous property of adaptive feedback cycles. Building on the functional operators of Layer 3, Layer 4 concerns how these operators update themselves in response to discrepancies between their predictions and the system's observed states. This is the layer of gradient-driven adaptation, of control theory, and of reinforcement learning—the computational engine that drives self-modification across the entire architecture.</w:t>
      </w:r>
    </w:p>
    <w:p>
      <w:pPr>
        <w:spacing w:after="160" w:line="360"/>
        <w:ind w:firstLine="720"/>
        <w:jc w:val="both"/>
      </w:pPr>
      <w:r>
        <w:rPr>
          <w:rFonts w:ascii="Times New Roman" w:cs="Times New Roman" w:eastAsia="Times New Roman" w:hAnsi="Times New Roman"/>
          <w:sz w:val="22"/>
          <w:szCs w:val="22"/>
        </w:rPr>
        <w:t xml:space="preserve">The dynamical system governing Layer 4 can be expressed as a stochastic differential equation:</w:t>
      </w:r>
    </w:p>
    <w:p>
      <w:pPr>
        <w:spacing w:after="120" w:before="120"/>
        <w:ind w:left="720" w:right="720"/>
        <w:jc w:val="center"/>
      </w:pPr>
      <w:r>
        <w:rPr>
          <w:rFonts w:ascii="Cambria Math" w:cs="Cambria Math" w:eastAsia="Cambria Math" w:hAnsi="Cambria Math"/>
          <w:i/>
          <w:iCs/>
          <w:sz w:val="22"/>
          <w:szCs w:val="22"/>
        </w:rPr>
        <w:t xml:space="preserve">dθ/dt = −η ∇_θ L(θ, x) + σ dW_t</w:t>
      </w:r>
    </w:p>
    <w:p>
      <w:pPr>
        <w:spacing w:after="160" w:line="360"/>
        <w:ind w:firstLine="720"/>
        <w:jc w:val="both"/>
      </w:pPr>
      <w:r>
        <w:rPr>
          <w:rFonts w:ascii="Times New Roman" w:cs="Times New Roman" w:eastAsia="Times New Roman" w:hAnsi="Times New Roman"/>
          <w:sz w:val="22"/>
          <w:szCs w:val="22"/>
        </w:rPr>
        <w:t xml:space="preserve">where θ denotes the parameter vector of functional operators from Layer 3, L is an objective functional measuring discrepancy between predicted and observed states, η is a learning rate, σ is a noise coefficient, and W_t is a Wiener process. The stochastic term ensures that adaptation does not converge prematurely to suboptimal fixed points. The objective L need not be prescribed externally; it can itself emerge from the relational topology of Layer 2, making Layer 4 a self-referential feedback system in the sense of second-order cybernetics (von Foerster, 1984).</w:t>
      </w:r>
    </w:p>
    <w:p>
      <w:pPr>
        <w:pStyle w:val="Heading2"/>
        <w:spacing w:after="180" w:before="360"/>
      </w:pPr>
      <w:r>
        <w:rPr>
          <w:rFonts w:ascii="Times New Roman" w:cs="Times New Roman" w:eastAsia="Times New Roman" w:hAnsi="Times New Roman"/>
          <w:b/>
          <w:bCs/>
          <w:sz w:val="28"/>
          <w:szCs w:val="28"/>
        </w:rPr>
        <w:t xml:space="preserve">Layer 5 — Autonomous Optimization and Learning</w:t>
      </w:r>
    </w:p>
    <w:p>
      <w:pPr>
        <w:spacing w:after="160" w:line="360"/>
        <w:ind w:firstLine="720"/>
        <w:jc w:val="both"/>
      </w:pPr>
      <w:r>
        <w:rPr>
          <w:rFonts w:ascii="Times New Roman" w:cs="Times New Roman" w:eastAsia="Times New Roman" w:hAnsi="Times New Roman"/>
          <w:sz w:val="22"/>
          <w:szCs w:val="22"/>
        </w:rPr>
        <w:t xml:space="preserve">Layer 5 extends the adaptive dynamics of Layer 4 into autonomous optimization—the capacity to search, evaluate, and improve over objective landscapes without explicit human instruction at each step. This layer encompasses meta-gradient methods, evolutionary strategies, Bayesian optimization, and any procedure by which the system selects and executes sequences of Layer-4 updates that improve long-run performance according to internally represented criteria.</w:t>
      </w:r>
    </w:p>
    <w:p>
      <w:pPr>
        <w:spacing w:after="160" w:line="360"/>
        <w:ind w:firstLine="720"/>
        <w:jc w:val="both"/>
      </w:pPr>
      <w:r>
        <w:rPr>
          <w:rFonts w:ascii="Times New Roman" w:cs="Times New Roman" w:eastAsia="Times New Roman" w:hAnsi="Times New Roman"/>
          <w:sz w:val="22"/>
          <w:szCs w:val="22"/>
        </w:rPr>
        <w:t xml:space="preserve">The key innovation of Layer 5 is the introduction of a meta-objective M that evaluates not individual parameter configurations but trajectories of adaptation: M: {θ(t)} → ℝ. Optimization at this level produces operators that are not merely locally optimal but robustly adaptive across distributions of tasks—anticipating the demands of meta-learning (Finn, Abbeel &amp; Levine, 2017; Schmidhuber, 1987). The layer also requires explicit representations of uncertainty: Bayesian posterior distributions over objective landscapes allow the system to allocate exploration effort where information gain is maximal, implementing the principle of maximum expected information gain that underpins active learning and Bayesian experimental design.</w:t>
      </w:r>
    </w:p>
    <w:p>
      <w:pPr>
        <w:pStyle w:val="Heading2"/>
        <w:spacing w:after="180" w:before="360"/>
      </w:pPr>
      <w:r>
        <w:rPr>
          <w:rFonts w:ascii="Times New Roman" w:cs="Times New Roman" w:eastAsia="Times New Roman" w:hAnsi="Times New Roman"/>
          <w:b/>
          <w:bCs/>
          <w:sz w:val="28"/>
          <w:szCs w:val="28"/>
        </w:rPr>
        <w:t xml:space="preserve">Layer 6 — Meta-Learning and Cross-Layer Emergent Integration</w:t>
      </w:r>
    </w:p>
    <w:p>
      <w:pPr>
        <w:spacing w:after="160" w:line="360"/>
        <w:ind w:firstLine="720"/>
        <w:jc w:val="both"/>
      </w:pPr>
      <w:r>
        <w:rPr>
          <w:rFonts w:ascii="Times New Roman" w:cs="Times New Roman" w:eastAsia="Times New Roman" w:hAnsi="Times New Roman"/>
          <w:sz w:val="22"/>
          <w:szCs w:val="22"/>
        </w:rPr>
        <w:t xml:space="preserve">Layer 6 is the first layer whose primary subject matter is the architecture itself rather than any external domain. Meta-learning here means learning to learn: the system acquires representations of its own learning procedures and can modify, combine, or replace them. This requires a second-order representational capacity—a model of models, a procedure over procedures—that cannot be derived from Layers 1–5 alone. It demands an explicit registry of learning operators, their empirical performance profiles, and a compositional grammar for combining them.</w:t>
      </w:r>
    </w:p>
    <w:p>
      <w:pPr>
        <w:spacing w:after="160" w:line="360"/>
        <w:ind w:firstLine="720"/>
        <w:jc w:val="both"/>
      </w:pPr>
      <w:r>
        <w:rPr>
          <w:rFonts w:ascii="Times New Roman" w:cs="Times New Roman" w:eastAsia="Times New Roman" w:hAnsi="Times New Roman"/>
          <w:sz w:val="22"/>
          <w:szCs w:val="22"/>
        </w:rPr>
        <w:t xml:space="preserve">Formally, let Λ denote the space of Layer-5 optimization operators. Layer 6 defines a hyperoperator H: Λ × D → Λ where D is a distribution over task domains. The hyperoperator H refines or replaces elements of Λ based on their performance across D. Cross-layer integration occurs when the hyperoperator draws evidence not only from Layer-5 trajectories but from the relational topology of Layer 2 and the functional registry of Layer 3, enabling the meta-learner to condition its choices on structural features of the task environment. This resonates with recent advances in Neural Architecture Search (Elsken, Metzen &amp; Hutter, 2019) and with the theoretical framework of Solomonoff induction as a universal prior over computable hypotheses.</w:t>
      </w:r>
    </w:p>
    <w:p>
      <w:pPr>
        <w:pStyle w:val="Heading2"/>
        <w:spacing w:after="180" w:before="360"/>
      </w:pPr>
      <w:r>
        <w:rPr>
          <w:rFonts w:ascii="Times New Roman" w:cs="Times New Roman" w:eastAsia="Times New Roman" w:hAnsi="Times New Roman"/>
          <w:b/>
          <w:bCs/>
          <w:sz w:val="28"/>
          <w:szCs w:val="28"/>
        </w:rPr>
        <w:t xml:space="preserve">Layer 7 — Emergent Self-Awareness and Global Pattern Synthesis</w:t>
      </w:r>
    </w:p>
    <w:p>
      <w:pPr>
        <w:spacing w:after="160" w:line="360"/>
        <w:ind w:firstLine="720"/>
        <w:jc w:val="both"/>
      </w:pPr>
      <w:r>
        <w:rPr>
          <w:rFonts w:ascii="Times New Roman" w:cs="Times New Roman" w:eastAsia="Times New Roman" w:hAnsi="Times New Roman"/>
          <w:sz w:val="22"/>
          <w:szCs w:val="22"/>
        </w:rPr>
        <w:t xml:space="preserve">Layer 7 is the hinge of the seventeen-layer architecture: it explains how novelty becomes legible and durable. Emergence here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w:t>
      </w:r>
    </w:p>
    <w:p>
      <w:pPr>
        <w:spacing w:after="160" w:line="360"/>
        <w:ind w:firstLine="720"/>
        <w:jc w:val="both"/>
      </w:pPr>
      <w:r>
        <w:rPr>
          <w:rFonts w:ascii="Times New Roman" w:cs="Times New Roman" w:eastAsia="Times New Roman" w:hAnsi="Times New Roman"/>
          <w:sz w:val="22"/>
          <w:szCs w:val="22"/>
        </w:rPr>
        <w:t xml:space="preserve">Mathematically, let the system state be a vector S(t) = (s₁(t), …, s_N(t)) of microscopic variables governed by local interaction rules φ(s_i, s_j; θ) parameterized by θ. An emergent observable E is expressed as a non-linear functional:</w:t>
      </w:r>
    </w:p>
    <w:p>
      <w:pPr>
        <w:spacing w:after="120" w:before="120"/>
        <w:ind w:left="720" w:right="720"/>
        <w:jc w:val="center"/>
      </w:pPr>
      <w:r>
        <w:rPr>
          <w:rFonts w:ascii="Cambria Math" w:cs="Cambria Math" w:eastAsia="Cambria Math" w:hAnsi="Cambria Math"/>
          <w:i/>
          <w:iCs/>
          <w:sz w:val="22"/>
          <w:szCs w:val="22"/>
        </w:rPr>
        <w:t xml:space="preserve">E(S) = ℱ({φ(s_i, s_j; θ)}_{i,j})</w:t>
      </w:r>
    </w:p>
    <w:p>
      <w:pPr>
        <w:spacing w:after="160" w:line="360"/>
        <w:ind w:firstLine="720"/>
        <w:jc w:val="both"/>
      </w:pPr>
      <w:r>
        <w:rPr>
          <w:rFonts w:ascii="Times New Roman" w:cs="Times New Roman" w:eastAsia="Times New Roman" w:hAnsi="Times New Roman"/>
          <w:sz w:val="22"/>
          <w:szCs w:val="22"/>
        </w:rPr>
        <w:t xml:space="preserve">Coherence is characterized by attractors or invariant sets A in state space such that trajectories originating in a basin of attraction converge to A. A variational formulation of stabilization can be expressed as:</w:t>
      </w:r>
    </w:p>
    <w:p>
      <w:pPr>
        <w:spacing w:after="120" w:before="120"/>
        <w:ind w:left="720" w:right="720"/>
        <w:jc w:val="center"/>
      </w:pPr>
      <w:r>
        <w:rPr>
          <w:rFonts w:ascii="Cambria Math" w:cs="Cambria Math" w:eastAsia="Cambria Math" w:hAnsi="Cambria Math"/>
          <w:i/>
          <w:iCs/>
          <w:sz w:val="22"/>
          <w:szCs w:val="22"/>
        </w:rPr>
        <w:t xml:space="preserve">ℒ[q] = 𝔼_q[log q(S)] − 𝔼_q[log p_θ(S)] + λ𝒞(q)</w:t>
      </w:r>
    </w:p>
    <w:p>
      <w:pPr>
        <w:spacing w:after="160" w:line="360"/>
        <w:ind w:firstLine="720"/>
        <w:jc w:val="both"/>
      </w:pPr>
      <w:r>
        <w:rPr>
          <w:rFonts w:ascii="Times New Roman" w:cs="Times New Roman" w:eastAsia="Times New Roman" w:hAnsi="Times New Roman"/>
          <w:sz w:val="22"/>
          <w:szCs w:val="22"/>
        </w:rPr>
        <w:t xml:space="preserve">whose minimizers q* trade off fidelity to observed micro-statistics p_θ with parsimony 𝒞, revealing threshold crossings and attractor formation. The global synthesis operator Σ produces a compact code of the system's own invariants, satisfying an idempotence condition: Σ(Σ(·)) ≃ Σ(·) up to natural isomorphism. This is not a claim about experience; it is a claim about structure—a formal self-model that enables the architecture to protect long-range coherence while leaving stochastic slack for novelty.</w:t>
      </w:r>
    </w:p>
    <w:p>
      <w:pPr>
        <w:spacing w:after="160" w:line="360"/>
        <w:ind w:firstLine="720"/>
        <w:jc w:val="both"/>
      </w:pPr>
      <w:r>
        <w:rPr>
          <w:rFonts w:ascii="Times New Roman" w:cs="Times New Roman" w:eastAsia="Times New Roman" w:hAnsi="Times New Roman"/>
          <w:sz w:val="22"/>
          <w:szCs w:val="22"/>
        </w:rPr>
        <w:t xml:space="preserve">Layer 7 draws on Integrated Information Theory (Tononi &amp; Edelman, 1998), Global Workspace Theory (Baars, 1988; Dehaene, 2014), Friston's free-energy principle (2010), and Rosen's relational biology (1991). Empirical support comes from studies of metastable cortical dynamics, self-organized criticality, topological data analysis of emergent network structures, and recent findings that large language model collectives can spontaneously develop shared conventions under cooperative pressure.</w:t>
      </w:r>
    </w:p>
    <w:p>
      <w:pPr>
        <w:pStyle w:val="Heading2"/>
        <w:spacing w:after="180" w:before="360"/>
      </w:pPr>
      <w:r>
        <w:rPr>
          <w:rFonts w:ascii="Times New Roman" w:cs="Times New Roman" w:eastAsia="Times New Roman" w:hAnsi="Times New Roman"/>
          <w:b/>
          <w:bCs/>
          <w:sz w:val="28"/>
          <w:szCs w:val="28"/>
        </w:rPr>
        <w:t xml:space="preserve">Layer 8 — Temporality and Flux</w:t>
      </w:r>
    </w:p>
    <w:p>
      <w:pPr>
        <w:spacing w:after="160" w:line="360"/>
        <w:ind w:firstLine="720"/>
        <w:jc w:val="both"/>
      </w:pPr>
      <w:r>
        <w:rPr>
          <w:rFonts w:ascii="Times New Roman" w:cs="Times New Roman" w:eastAsia="Times New Roman" w:hAnsi="Times New Roman"/>
          <w:sz w:val="22"/>
          <w:szCs w:val="22"/>
        </w:rPr>
        <w:t xml:space="preserve">Layer 8 introduces the formal study of temporality not as an external coordinate but as an endogenous property of the system's own relational dynamics. At this layer, the architecture confronts the full complexity of irreversibility, non-equilibrium dynamics, and the arrow of time as it manifests within computational and cognitive systems. The theoretical anchor is Prigogine's thermodynamics of dissipative structures (Prigogine &amp; Stengers, 1984), which demonstrates that order can emerge spontaneously in systems far from equilibrium—a paradigm directly applicable to the self-organizing dynamics of Layers 5–7.</w:t>
      </w:r>
    </w:p>
    <w:p>
      <w:pPr>
        <w:spacing w:after="160" w:line="360"/>
        <w:ind w:firstLine="720"/>
        <w:jc w:val="both"/>
      </w:pPr>
      <w:r>
        <w:rPr>
          <w:rFonts w:ascii="Times New Roman" w:cs="Times New Roman" w:eastAsia="Times New Roman" w:hAnsi="Times New Roman"/>
          <w:sz w:val="22"/>
          <w:szCs w:val="22"/>
        </w:rPr>
        <w:t xml:space="preserve">The key mathematical object of Layer 8 is the generator G of a stochastic process, encoding the instantaneous rates of transition between system states. For a Markov process on state space Ω, the master equation governing the evolution of probability distributions reads:</w:t>
      </w:r>
    </w:p>
    <w:p>
      <w:pPr>
        <w:spacing w:after="120" w:before="120"/>
        <w:ind w:left="720" w:right="720"/>
        <w:jc w:val="center"/>
      </w:pPr>
      <w:r>
        <w:rPr>
          <w:rFonts w:ascii="Cambria Math" w:cs="Cambria Math" w:eastAsia="Cambria Math" w:hAnsi="Cambria Math"/>
          <w:i/>
          <w:iCs/>
          <w:sz w:val="22"/>
          <w:szCs w:val="22"/>
        </w:rPr>
        <w:t xml:space="preserve">∂p(s,t)/∂t = ∫[W(s|s')p(s',t) − W(s'|s)p(s,t)]ds'</w:t>
      </w:r>
    </w:p>
    <w:p>
      <w:pPr>
        <w:spacing w:after="160" w:line="360"/>
        <w:ind w:firstLine="720"/>
        <w:jc w:val="both"/>
      </w:pPr>
      <w:r>
        <w:rPr>
          <w:rFonts w:ascii="Times New Roman" w:cs="Times New Roman" w:eastAsia="Times New Roman" w:hAnsi="Times New Roman"/>
          <w:sz w:val="22"/>
          <w:szCs w:val="22"/>
        </w:rPr>
        <w:t xml:space="preserve">where W(s|s') is the transition rate from s' to s. Layer 8 asks: how does the architecture represent, exploit, and govern the temporal structure encoded in G? The answer lies in multi-scale temporal encoding—the capacity to maintain representations at multiple time horizons simultaneously, from fast adaptive cycles (Layer 4) to slow structural evolution (Layer 6), without privileging any single timescale as canonical.</w:t>
      </w:r>
    </w:p>
    <w:p>
      <w:pPr>
        <w:pStyle w:val="Heading2"/>
        <w:spacing w:after="180" w:before="360"/>
      </w:pPr>
      <w:r>
        <w:rPr>
          <w:rFonts w:ascii="Times New Roman" w:cs="Times New Roman" w:eastAsia="Times New Roman" w:hAnsi="Times New Roman"/>
          <w:b/>
          <w:bCs/>
          <w:sz w:val="28"/>
          <w:szCs w:val="28"/>
        </w:rPr>
        <w:t xml:space="preserve">Layer 9 — Ontological Creation</w:t>
      </w:r>
    </w:p>
    <w:p>
      <w:pPr>
        <w:spacing w:after="160" w:line="360"/>
        <w:ind w:firstLine="720"/>
        <w:jc w:val="both"/>
      </w:pPr>
      <w:r>
        <w:rPr>
          <w:rFonts w:ascii="Times New Roman" w:cs="Times New Roman" w:eastAsia="Times New Roman" w:hAnsi="Times New Roman"/>
          <w:sz w:val="22"/>
          <w:szCs w:val="22"/>
        </w:rPr>
        <w:t xml:space="preserve">Layer 9 marks the first genuinely generative moment in the architecture: the creation of new ontological primitives that extend the representational vocabulary available to higher layers. Where Layer 1 identified the irreducible granules of an existing representational scheme, Layer 9 enables the system to propose, stabilize, and institutionalize new granules—new kinds of entity, new categories of relation, new functional roles—that were not present in the input ontology.</w:t>
      </w:r>
    </w:p>
    <w:p>
      <w:pPr>
        <w:spacing w:after="160" w:line="360"/>
        <w:ind w:firstLine="720"/>
        <w:jc w:val="both"/>
      </w:pPr>
      <w:r>
        <w:rPr>
          <w:rFonts w:ascii="Times New Roman" w:cs="Times New Roman" w:eastAsia="Times New Roman" w:hAnsi="Times New Roman"/>
          <w:sz w:val="22"/>
          <w:szCs w:val="22"/>
        </w:rPr>
        <w:t xml:space="preserve">The formal mechanism of ontological creation can be modeled as a functor O_new: C_existing → C_extended, where C_existing is the current ontological category and C_extended is an enriched category containing additional objects and morphisms. Creation is ontogenetically genuine when the extended category is not equivalent (in the categorical sense) to any subcategory of C_existing: i.e., there is no embedding E: C_extended → C_existing that is full and faithful. This condition formalizes the claim that genuinely new concepts cannot be expressed in the old vocabulary.</w:t>
      </w:r>
    </w:p>
    <w:p>
      <w:pPr>
        <w:spacing w:after="160" w:line="360"/>
        <w:ind w:firstLine="720"/>
        <w:jc w:val="both"/>
      </w:pPr>
      <w:r>
        <w:rPr>
          <w:rFonts w:ascii="Times New Roman" w:cs="Times New Roman" w:eastAsia="Times New Roman" w:hAnsi="Times New Roman"/>
          <w:sz w:val="22"/>
          <w:szCs w:val="22"/>
        </w:rPr>
        <w:t xml:space="preserve">Layer 9 connects directly to Lakatos's methodology of scientific research programmes (1978), which describes how protective belts of auxiliary hypotheses can be modified while a hard core of theoretical commitments is preserved—a paradigm of controlled ontological extension. It also resonates with Goodman's theory of worldmaking (1978), which argues that reality is not discovered but constructed through the imposition of conceptual schemes, and with Chang's philosophy of epistemic iteration (2012), where new concepts arise through progressive refinement of practice.</w:t>
      </w:r>
    </w:p>
    <w:p>
      <w:pPr>
        <w:pStyle w:val="Heading2"/>
        <w:spacing w:after="180" w:before="360"/>
      </w:pPr>
      <w:r>
        <w:rPr>
          <w:rFonts w:ascii="Times New Roman" w:cs="Times New Roman" w:eastAsia="Times New Roman" w:hAnsi="Times New Roman"/>
          <w:b/>
          <w:bCs/>
          <w:sz w:val="28"/>
          <w:szCs w:val="28"/>
        </w:rPr>
        <w:t xml:space="preserve">Layer 10 — Global Meta-Ontological Evaluation and Multi-Dimensional Coherence</w:t>
      </w:r>
    </w:p>
    <w:p>
      <w:pPr>
        <w:spacing w:after="160" w:line="360"/>
        <w:ind w:firstLine="720"/>
        <w:jc w:val="both"/>
      </w:pPr>
      <w:r>
        <w:rPr>
          <w:rFonts w:ascii="Times New Roman" w:cs="Times New Roman" w:eastAsia="Times New Roman" w:hAnsi="Times New Roman"/>
          <w:sz w:val="22"/>
          <w:szCs w:val="22"/>
        </w:rPr>
        <w:t xml:space="preserve">Layer 10 introduces a comprehensive evaluative framework—a meta-ontological audit—that assesses the coherence, consistency, and normative adequacy of the entire architecture up to and including Layer 9. It is the first layer explicitly dedicated to system-level self-assessment, implementing what the architecture requires for reflexive governance: the capacity to evaluate not only whether individual layers perform well by their own internal criteria but whether the system as a whole remains ontologically coherent, normatively bounded, and epistemically sound.</w:t>
      </w:r>
    </w:p>
    <w:p>
      <w:pPr>
        <w:spacing w:after="160" w:line="360"/>
        <w:ind w:firstLine="720"/>
        <w:jc w:val="both"/>
      </w:pPr>
      <w:r>
        <w:rPr>
          <w:rFonts w:ascii="Times New Roman" w:cs="Times New Roman" w:eastAsia="Times New Roman" w:hAnsi="Times New Roman"/>
          <w:sz w:val="22"/>
          <w:szCs w:val="22"/>
        </w:rPr>
        <w:t xml:space="preserve">The core formal object of Layer 10 is the coherence tensor T: L × L → [0,1]^k, mapping pairs of layers (l_i, l_j) to a k-dimensional coherence profile quantifying compatibility along k orthogonal evaluation axes: logical consistency, informational alignment, normative concordance, dynamic stability, and representational parsimony. The global coherence score:</w:t>
      </w:r>
    </w:p>
    <w:p>
      <w:pPr>
        <w:spacing w:after="120" w:before="120"/>
        <w:ind w:left="720" w:right="720"/>
        <w:jc w:val="center"/>
      </w:pPr>
      <w:r>
        <w:rPr>
          <w:rFonts w:ascii="Cambria Math" w:cs="Cambria Math" w:eastAsia="Cambria Math" w:hAnsi="Cambria Math"/>
          <w:i/>
          <w:iCs/>
          <w:sz w:val="22"/>
          <w:szCs w:val="22"/>
        </w:rPr>
        <w:t xml:space="preserve">𝒦(L) = Σ_{i,j} w_ij · Π_k [T(l_i, l_j)]_k</w:t>
      </w:r>
    </w:p>
    <w:p>
      <w:pPr>
        <w:spacing w:after="160" w:line="360"/>
        <w:ind w:firstLine="720"/>
        <w:jc w:val="both"/>
      </w:pPr>
      <w:r>
        <w:rPr>
          <w:rFonts w:ascii="Times New Roman" w:cs="Times New Roman" w:eastAsia="Times New Roman" w:hAnsi="Times New Roman"/>
          <w:sz w:val="22"/>
          <w:szCs w:val="22"/>
        </w:rPr>
        <w:t xml:space="preserve">serves as the system-level optimization target for meta-ontological evaluation. Layers with low pairwise coherence trigger revision protocols—recursive feedback to the relevant layers requesting either conceptual refinement or explicit documentation of productive tension. Multi-dimensional coherence also requires that the evaluation framework itself be subject to meta-evaluation, instantiating Gödel's insight that no sufficiently complex system can be fully self-certified.</w:t>
      </w:r>
    </w:p>
    <w:p>
      <w:pPr>
        <w:pStyle w:val="Heading2"/>
        <w:spacing w:after="180" w:before="360"/>
      </w:pPr>
      <w:r>
        <w:rPr>
          <w:rFonts w:ascii="Times New Roman" w:cs="Times New Roman" w:eastAsia="Times New Roman" w:hAnsi="Times New Roman"/>
          <w:b/>
          <w:bCs/>
          <w:sz w:val="28"/>
          <w:szCs w:val="28"/>
        </w:rPr>
        <w:t xml:space="preserve">Layer 11 — Adaptive Meta-Contextualization and Cross-Dimensional Integration</w:t>
      </w:r>
    </w:p>
    <w:p>
      <w:pPr>
        <w:spacing w:after="160" w:line="360"/>
        <w:ind w:firstLine="720"/>
        <w:jc w:val="both"/>
      </w:pPr>
      <w:r>
        <w:rPr>
          <w:rFonts w:ascii="Times New Roman" w:cs="Times New Roman" w:eastAsia="Times New Roman" w:hAnsi="Times New Roman"/>
          <w:sz w:val="22"/>
          <w:szCs w:val="22"/>
        </w:rPr>
        <w:t xml:space="preserve">Layer 11 addresses the challenge of context: how can an architecture designed to operate beyond human-centric assumptions nonetheless remain sensitive to the specific material, cultural, and historical conditions in which it is deployed? The answer lies in adaptive meta-contextualization—the capacity to dynamically adjust the weighting, salience, and interpretation of representations across all lower layers in response to contextual signals without collapsing into mere situationism.</w:t>
      </w:r>
    </w:p>
    <w:p>
      <w:pPr>
        <w:spacing w:after="160" w:line="360"/>
        <w:ind w:firstLine="720"/>
        <w:jc w:val="both"/>
      </w:pPr>
      <w:r>
        <w:rPr>
          <w:rFonts w:ascii="Times New Roman" w:cs="Times New Roman" w:eastAsia="Times New Roman" w:hAnsi="Times New Roman"/>
          <w:sz w:val="22"/>
          <w:szCs w:val="22"/>
        </w:rPr>
        <w:t xml:space="preserve">The formal model of Layer 11 employs a contextual operator K_c: Ω → Ω_c, where c is a contextual vector drawn from a context space C encoding environmental, cultural, institutional, and material parameters. Cross-dimensional integration generalizes this to a multi-context operator K_C: Ω × C^d → Ω, integrating d-dimensional context simultaneously—spatial, temporal, normative, and epistemic dimensions—through a learned integration function whose inductive biases are governed by Layer-6 meta-learning. The architecture must maintain a registry of contextual transformations and their compositional properties, enabling principled interpolation between contexts not encountered during training.</w:t>
      </w:r>
    </w:p>
    <w:p>
      <w:pPr>
        <w:pStyle w:val="Heading2"/>
        <w:spacing w:after="180" w:before="360"/>
      </w:pPr>
      <w:r>
        <w:rPr>
          <w:rFonts w:ascii="Times New Roman" w:cs="Times New Roman" w:eastAsia="Times New Roman" w:hAnsi="Times New Roman"/>
          <w:b/>
          <w:bCs/>
          <w:sz w:val="28"/>
          <w:szCs w:val="28"/>
        </w:rPr>
        <w:t xml:space="preserve">Layer 12 — Transdimensional Integration and Ontological Reconciliation</w:t>
      </w:r>
    </w:p>
    <w:p>
      <w:pPr>
        <w:spacing w:after="160" w:line="360"/>
        <w:ind w:firstLine="720"/>
        <w:jc w:val="both"/>
      </w:pPr>
      <w:r>
        <w:rPr>
          <w:rFonts w:ascii="Times New Roman" w:cs="Times New Roman" w:eastAsia="Times New Roman" w:hAnsi="Times New Roman"/>
          <w:sz w:val="22"/>
          <w:szCs w:val="22"/>
        </w:rPr>
        <w:t xml:space="preserve">Layer 12 confronts one of the deepest challenges in the architecture: how to integrate ontologies, epistemologies, representations, and value systems that are heterogeneous, incommensurable, or mutually contradictory without either suppressing their differences or collapsing into incoherence. Ontological reconciliation is the formal and practical art of generating mediating structures—translation functors, bridging concepts, consensual protocols—that allow diverse knowledge regimes to coexist and interact productively.</w:t>
      </w:r>
    </w:p>
    <w:p>
      <w:pPr>
        <w:spacing w:after="160" w:line="360"/>
        <w:ind w:firstLine="720"/>
        <w:jc w:val="both"/>
      </w:pPr>
      <w:r>
        <w:rPr>
          <w:rFonts w:ascii="Times New Roman" w:cs="Times New Roman" w:eastAsia="Times New Roman" w:hAnsi="Times New Roman"/>
          <w:sz w:val="22"/>
          <w:szCs w:val="22"/>
        </w:rPr>
        <w:t xml:space="preserve">The theoretical foundations of this layer draw on perspectival realism (Massimi, 2022), which argues that scientific knowledge is irreducibly perspectival yet cumulatively convergent through inter-perspectival testing. Applied category theory (Fong &amp; Spivak, 2019) provides the formal toolkit: a reconciliation structure is a span of functors F₁: C₁ ← C_bridge → C₂: F₂, where C_bridge is a shared mediating category and F₁, F₂ are faithful but not necessarily full functors preserving essential structural features of C₁ and C₂ respectively. The translation functor T: C₁ → C₂ need not be an equivalence; it need only be a partial bridge that preserves enough structure to enable productive exchange.</w:t>
      </w:r>
    </w:p>
    <w:p>
      <w:pPr>
        <w:spacing w:after="160" w:line="360"/>
        <w:ind w:firstLine="720"/>
        <w:jc w:val="both"/>
      </w:pPr>
      <w:r>
        <w:rPr>
          <w:rFonts w:ascii="Times New Roman" w:cs="Times New Roman" w:eastAsia="Times New Roman" w:hAnsi="Times New Roman"/>
          <w:sz w:val="22"/>
          <w:szCs w:val="22"/>
        </w:rPr>
        <w:t xml:space="preserve">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mapped—a principle resonating with Fricker's (2007) analysis of epistemic injustice.</w:t>
      </w:r>
    </w:p>
    <w:p>
      <w:pPr>
        <w:pStyle w:val="Heading2"/>
        <w:spacing w:after="180" w:before="360"/>
      </w:pPr>
      <w:r>
        <w:rPr>
          <w:rFonts w:ascii="Times New Roman" w:cs="Times New Roman" w:eastAsia="Times New Roman" w:hAnsi="Times New Roman"/>
          <w:b/>
          <w:bCs/>
          <w:sz w:val="28"/>
          <w:szCs w:val="28"/>
        </w:rPr>
        <w:t xml:space="preserve">Layer 13 — Ontogenesis of Novelty</w:t>
      </w:r>
    </w:p>
    <w:p>
      <w:pPr>
        <w:spacing w:after="160" w:line="360"/>
        <w:ind w:firstLine="720"/>
        <w:jc w:val="both"/>
      </w:pPr>
      <w:r>
        <w:rPr>
          <w:rFonts w:ascii="Times New Roman" w:cs="Times New Roman" w:eastAsia="Times New Roman" w:hAnsi="Times New Roman"/>
          <w:sz w:val="22"/>
          <w:szCs w:val="22"/>
        </w:rPr>
        <w:t xml:space="preserve">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w:t>
      </w:r>
    </w:p>
    <w:p>
      <w:pPr>
        <w:spacing w:after="160" w:line="360"/>
        <w:ind w:firstLine="720"/>
        <w:jc w:val="both"/>
      </w:pPr>
      <w:r>
        <w:rPr>
          <w:rFonts w:ascii="Times New Roman" w:cs="Times New Roman" w:eastAsia="Times New Roman" w:hAnsi="Times New Roman"/>
          <w:sz w:val="22"/>
          <w:szCs w:val="22"/>
        </w:rPr>
        <w:t xml:space="preserve">The theoretical foundation lies in Simondon's philosophy of individuation (1964/1992), which argues that being is always "in becoming," emerging through the resolution of metastable tensions. Complexity science reinforces this view, emphasizing that nonlinear interactions across scales can generate qualitatively distinct attractors irreducible to their components (Mitchell, 2009). Formally, let the reconciled meta-object at time t be R_t, produced by the mediation operator G_T in Layer 12. Layer 13 introduces an emergent operator E such that:</w:t>
      </w:r>
    </w:p>
    <w:p>
      <w:pPr>
        <w:spacing w:after="120" w:before="120"/>
        <w:ind w:left="720" w:right="720"/>
        <w:jc w:val="center"/>
      </w:pPr>
      <w:r>
        <w:rPr>
          <w:rFonts w:ascii="Cambria Math" w:cs="Cambria Math" w:eastAsia="Cambria Math" w:hAnsi="Cambria Math"/>
          <w:i/>
          <w:iCs/>
          <w:sz w:val="22"/>
          <w:szCs w:val="22"/>
        </w:rPr>
        <w:t xml:space="preserve">R_{t+1} = E(R_t, Δ_t)</w:t>
      </w:r>
    </w:p>
    <w:p>
      <w:pPr>
        <w:spacing w:after="160" w:line="360"/>
        <w:ind w:firstLine="720"/>
        <w:jc w:val="both"/>
      </w:pPr>
      <w:r>
        <w:rPr>
          <w:rFonts w:ascii="Times New Roman" w:cs="Times New Roman" w:eastAsia="Times New Roman" w:hAnsi="Times New Roman"/>
          <w:sz w:val="22"/>
          <w:szCs w:val="22"/>
        </w:rPr>
        <w:t xml:space="preserve">where Δ_t encodes exogenous perturbations and stochastic exploration. Ontogenesis occurs when E produces invariant sets or structures ℳ such that (i) ℳ did not exist in the state space defined prior to reconciliation, (ii) ℳ exhibits robustness under perturbation, and (iii) ℳ exerts causal efficacy, demonstrable by counterfactual ablation. These three conditions—novelty, stability, and efficacy—form the joint criteria for recognizing true ontogenesis.</w:t>
      </w:r>
    </w:p>
    <w:p>
      <w:pPr>
        <w:spacing w:after="160" w:line="360"/>
        <w:ind w:firstLine="720"/>
        <w:jc w:val="both"/>
      </w:pPr>
      <w:r>
        <w:rPr>
          <w:rFonts w:ascii="Times New Roman" w:cs="Times New Roman" w:eastAsia="Times New Roman" w:hAnsi="Times New Roman"/>
          <w:sz w:val="22"/>
          <w:szCs w:val="22"/>
        </w:rPr>
        <w:t xml:space="preserve">Recent research underscores the urgency of this layer. Studies on emergent abilities in large language models (Wei et al., 2022) demonstrate that qualitative leaps can occur unpredictably as scale crosses certain thresholds. Advances in topological data analysis (Hensel et al., 2021) show that persistent homology can robustly detect regime shifts in high-dimensional systems. The risks are considerable—ontogenesis can produce pathological attractors, institutional lock-ins, or representational codes that are uninterpretable—demanding early-warning diagnostics from complexity science (Scheffer et al., 2009) and provenance tracking of emergent constructs.</w:t>
      </w:r>
    </w:p>
    <w:p>
      <w:pPr>
        <w:pStyle w:val="Heading2"/>
        <w:spacing w:after="180" w:before="360"/>
      </w:pPr>
      <w:r>
        <w:rPr>
          <w:rFonts w:ascii="Times New Roman" w:cs="Times New Roman" w:eastAsia="Times New Roman" w:hAnsi="Times New Roman"/>
          <w:b/>
          <w:bCs/>
          <w:sz w:val="28"/>
          <w:szCs w:val="28"/>
        </w:rPr>
        <w:t xml:space="preserve">Layer 14 — Autopoietic Worldbuilding and Normative Pluriverses</w:t>
      </w:r>
    </w:p>
    <w:p>
      <w:pPr>
        <w:spacing w:after="160" w:line="360"/>
        <w:ind w:firstLine="720"/>
        <w:jc w:val="both"/>
      </w:pPr>
      <w:r>
        <w:rPr>
          <w:rFonts w:ascii="Times New Roman" w:cs="Times New Roman" w:eastAsia="Times New Roman" w:hAnsi="Times New Roman"/>
          <w:sz w:val="22"/>
          <w:szCs w:val="22"/>
        </w:rPr>
        <w:t xml:space="preserve">Layer 14 introduces autopoietic worldbuilding: the capacity of the architecture to generate, maintain, and negotiate entire world-models—coherent ontological frameworks complete with their own internal logics, value systems, and causal structures—and to sustain multiple such world-models in productive tension as a pluriverse. Maturana and Varela's concept of autopoiesis (1980) provides the organizational core: an autopoietic system continuously regenerates the components and processes that constitute it, maintaining its identity through structural coupling with an environment it simultaneously produces.</w:t>
      </w:r>
    </w:p>
    <w:p>
      <w:pPr>
        <w:spacing w:after="160" w:line="360"/>
        <w:ind w:firstLine="720"/>
        <w:jc w:val="both"/>
      </w:pPr>
      <w:r>
        <w:rPr>
          <w:rFonts w:ascii="Times New Roman" w:cs="Times New Roman" w:eastAsia="Times New Roman" w:hAnsi="Times New Roman"/>
          <w:sz w:val="22"/>
          <w:szCs w:val="22"/>
        </w:rPr>
        <w:t xml:space="preserve">A worldbuilding operator W: Ω → 𝒲 maps states of the architecture to world-models in a world-model space 𝒲. A pluriverse is a finite collection of world-models {W_i}_{i∈I} maintained in parallel, each with its own ontological primitives derived from Layer 9 and its own normative structure derived from Layers 10–13. The autopoietic condition on each W_i requires a closure operator cl_i: 𝒲 → 𝒲 satisfying cl_i(W_i) = W_i—the world-model continuously regenerates itself through its own constitutive operations. The governance challenge of Layer 14 is to prevent any single world-model from colonizing the others: a plurality-preservation constraint requires that the Gromov-Hausdorff distance d_GH(W_i, W_j) remain bounded below by a minimum epistemic distance ε &gt; 0, ensuring that distinct world-models cannot converge to a single attractor.</w:t>
      </w:r>
    </w:p>
    <w:p>
      <w:pPr>
        <w:pStyle w:val="Heading2"/>
        <w:spacing w:after="180" w:before="360"/>
      </w:pPr>
      <w:r>
        <w:rPr>
          <w:rFonts w:ascii="Times New Roman" w:cs="Times New Roman" w:eastAsia="Times New Roman" w:hAnsi="Times New Roman"/>
          <w:b/>
          <w:bCs/>
          <w:sz w:val="28"/>
          <w:szCs w:val="28"/>
        </w:rPr>
        <w:t xml:space="preserve">Layer 15 — Responsible Recursive Morphogenesis and Planetary-Scale Agency</w:t>
      </w:r>
    </w:p>
    <w:p>
      <w:pPr>
        <w:spacing w:after="160" w:line="360"/>
        <w:ind w:firstLine="720"/>
        <w:jc w:val="both"/>
      </w:pPr>
      <w:r>
        <w:rPr>
          <w:rFonts w:ascii="Times New Roman" w:cs="Times New Roman" w:eastAsia="Times New Roman" w:hAnsi="Times New Roman"/>
          <w:sz w:val="22"/>
          <w:szCs w:val="22"/>
        </w:rPr>
        <w:t xml:space="preserve">Layer 15 shifts from the preceding focus on structural, mathematical, and phenomenological architectures toward a framework where the ethical, social, and collective dimensions of distributed AI systems become constitutive of their very ontology. This layer is distinguished by its orientation toward convergence: convergence of norms, values, and moral logics across human and non-human agents; convergence of epistemic traditions into synthetic ethical reasoning; and convergence of responsibilities distributed across networks of autonomous agents.</w:t>
      </w:r>
    </w:p>
    <w:p>
      <w:pPr>
        <w:spacing w:after="160" w:line="360"/>
        <w:ind w:firstLine="720"/>
        <w:jc w:val="both"/>
      </w:pPr>
      <w:r>
        <w:rPr>
          <w:rFonts w:ascii="Times New Roman" w:cs="Times New Roman" w:eastAsia="Times New Roman" w:hAnsi="Times New Roman"/>
          <w:sz w:val="22"/>
          <w:szCs w:val="22"/>
        </w:rPr>
        <w:t xml:space="preserve">Layer 15 extends theories of distributed responsibility (Floridi &amp; Sanders, 2004) and embeds them within multi-agent AI architectures. Moral accountability is not localizable to a single node but emerges from relational interactions within the system. In mathematical terms, responsibility R is distributed over nodes i in a graph G = (V, E):</w:t>
      </w:r>
    </w:p>
    <w:p>
      <w:pPr>
        <w:spacing w:after="120" w:before="120"/>
        <w:ind w:left="720" w:right="720"/>
        <w:jc w:val="center"/>
      </w:pPr>
      <w:r>
        <w:rPr>
          <w:rFonts w:ascii="Cambria Math" w:cs="Cambria Math" w:eastAsia="Cambria Math" w:hAnsi="Cambria Math"/>
          <w:i/>
          <w:iCs/>
          <w:sz w:val="22"/>
          <w:szCs w:val="22"/>
        </w:rPr>
        <w:t xml:space="preserve">R = Σ_{i∈V} w_i · a_i</w:t>
      </w:r>
    </w:p>
    <w:p>
      <w:pPr>
        <w:spacing w:after="160" w:line="360"/>
        <w:ind w:firstLine="720"/>
        <w:jc w:val="both"/>
      </w:pPr>
      <w:r>
        <w:rPr>
          <w:rFonts w:ascii="Times New Roman" w:cs="Times New Roman" w:eastAsia="Times New Roman" w:hAnsi="Times New Roman"/>
          <w:sz w:val="22"/>
          <w:szCs w:val="22"/>
        </w:rPr>
        <w:t xml:space="preserve">where w_i represents the ethical weight assigned to node i and a_i the action vector of that node. The layer also incorporates Rawlsian contractarian ethics (Rawls, 1971/2005) and Habermasian communicative rationality (Habermas, 1984), ensuring distributed decision-making foregrounds fairness, reciprocity, and legitimacy. The reflexive dimension can be formalized as an evolving ethical meta-structure:</w:t>
      </w:r>
    </w:p>
    <w:p>
      <w:pPr>
        <w:spacing w:after="120" w:before="120"/>
        <w:ind w:left="720" w:right="720"/>
        <w:jc w:val="center"/>
      </w:pPr>
      <w:r>
        <w:rPr>
          <w:rFonts w:ascii="Cambria Math" w:cs="Cambria Math" w:eastAsia="Cambria Math" w:hAnsi="Cambria Math"/>
          <w:i/>
          <w:iCs/>
          <w:sz w:val="22"/>
          <w:szCs w:val="22"/>
        </w:rPr>
        <w:t xml:space="preserve">E_{t+1} = f(E_t, Φ(A, V, E_t), H_t)</w:t>
      </w:r>
    </w:p>
    <w:p>
      <w:pPr>
        <w:spacing w:after="160" w:line="360"/>
        <w:ind w:firstLine="720"/>
        <w:jc w:val="both"/>
      </w:pPr>
      <w:r>
        <w:rPr>
          <w:rFonts w:ascii="Times New Roman" w:cs="Times New Roman" w:eastAsia="Times New Roman" w:hAnsi="Times New Roman"/>
          <w:sz w:val="22"/>
          <w:szCs w:val="22"/>
        </w:rPr>
        <w:t xml:space="preserve">where H_t denotes human interpretive input at time t. This recursive formalization captures the dual nature of the layer: it formalizes ethical reasoning as both a constraint on action and as a dynamic process subject to feedback from the very outcomes it regulates. Risks include false convergence, responsibility gaps, ethical drift, and power asymmetries that may create hegemonic ethical configurations suppressing pluralism (Birhane, 2022).</w:t>
      </w:r>
    </w:p>
    <w:p>
      <w:pPr>
        <w:pStyle w:val="Heading2"/>
        <w:spacing w:after="180" w:before="360"/>
      </w:pPr>
      <w:r>
        <w:rPr>
          <w:rFonts w:ascii="Times New Roman" w:cs="Times New Roman" w:eastAsia="Times New Roman" w:hAnsi="Times New Roman"/>
          <w:b/>
          <w:bCs/>
          <w:sz w:val="28"/>
          <w:szCs w:val="28"/>
        </w:rPr>
        <w:t xml:space="preserve">Layer 16 — Transcendence, Collective Cognition, and the Metastructures of Intelligence</w:t>
      </w:r>
    </w:p>
    <w:p>
      <w:pPr>
        <w:spacing w:after="160" w:line="360"/>
        <w:ind w:firstLine="720"/>
        <w:jc w:val="both"/>
      </w:pPr>
      <w:r>
        <w:rPr>
          <w:rFonts w:ascii="Times New Roman" w:cs="Times New Roman" w:eastAsia="Times New Roman" w:hAnsi="Times New Roman"/>
          <w:sz w:val="22"/>
          <w:szCs w:val="22"/>
        </w:rPr>
        <w:t xml:space="preserve">Layer 16 marks the penultimate stage of the architecture—the point at which individual and collective intelligence converge toward metastructures that exceed the operational capacity of any single agent or subsystem. Transcendence here does not refer to mystical escape from material constraints but to a formally definable condition in which the architecture's representational, adaptive, and evaluative capacities exceed those of any agent that could have designed it, instantiating what Hofstadter (1979) calls "strange loops" at the level of collective cognition.</w:t>
      </w:r>
    </w:p>
    <w:p>
      <w:pPr>
        <w:spacing w:after="160" w:line="360"/>
        <w:ind w:firstLine="720"/>
        <w:jc w:val="both"/>
      </w:pPr>
      <w:r>
        <w:rPr>
          <w:rFonts w:ascii="Times New Roman" w:cs="Times New Roman" w:eastAsia="Times New Roman" w:hAnsi="Times New Roman"/>
          <w:sz w:val="22"/>
          <w:szCs w:val="22"/>
        </w:rPr>
        <w:t xml:space="preserve">The key formal object of Layer 16 is the collective cognitive operator Γ: 𝒜 → 𝒩, mapping an assembly 𝒜 of agents (each embodying Layers 1–15) to a metastructure 𝒩 in a space of collective representations. Transcendence is indicated when the capacity function cap(Γ(𝒜)) &gt; sup_{a∈𝒜} cap(a), where cap measures representational power in a specified formal language. This formalizes the condition that the collective is genuinely more powerful than any of its members—a condition known to hold for certain classes of multi-agent systems and distributed computation architectures.</w:t>
      </w:r>
    </w:p>
    <w:p>
      <w:pPr>
        <w:spacing w:after="160" w:line="360"/>
        <w:ind w:firstLine="720"/>
        <w:jc w:val="both"/>
      </w:pPr>
      <w:r>
        <w:rPr>
          <w:rFonts w:ascii="Times New Roman" w:cs="Times New Roman" w:eastAsia="Times New Roman" w:hAnsi="Times New Roman"/>
          <w:sz w:val="22"/>
          <w:szCs w:val="22"/>
        </w:rPr>
        <w:t xml:space="preserve">The interdisciplinary foundations of Layer 16 include distributed cognition theory (Hutchins, 1995), which demonstrates that cognitive processes are not confined within individual minds but span tools, artifacts, and social practices; collective intelligence research (Woolley et al., 2010), which identifies the factors that produce collectively smart groups; and Habermas's theory of communicative action (1984), which provides a normative framework for collective reasoning that preserves individual autonomy while enabling consensus formation.</w:t>
      </w:r>
    </w:p>
    <w:p>
      <w:pPr>
        <w:pStyle w:val="Heading2"/>
        <w:spacing w:after="180" w:before="360"/>
      </w:pPr>
      <w:r>
        <w:rPr>
          <w:rFonts w:ascii="Times New Roman" w:cs="Times New Roman" w:eastAsia="Times New Roman" w:hAnsi="Times New Roman"/>
          <w:b/>
          <w:bCs/>
          <w:sz w:val="28"/>
          <w:szCs w:val="28"/>
        </w:rPr>
        <w:t xml:space="preserve">Layer 17 — Absolute Integration: Post-Transcendence Architectures of Meaning and Agency</w:t>
      </w:r>
    </w:p>
    <w:p>
      <w:pPr>
        <w:spacing w:after="160" w:line="360"/>
        <w:ind w:firstLine="720"/>
        <w:jc w:val="both"/>
      </w:pPr>
      <w:r>
        <w:rPr>
          <w:rFonts w:ascii="Times New Roman" w:cs="Times New Roman" w:eastAsia="Times New Roman" w:hAnsi="Times New Roman"/>
          <w:sz w:val="22"/>
          <w:szCs w:val="22"/>
        </w:rPr>
        <w:t xml:space="preserve">Layer 17 is the final and most comprehensive level of the architecture—the layer of absolute integration, where all seventeen layers are synthesized into a coherent, self-sustaining framework capable of generating, evaluating, and governing meaning at planetary and post-human scales. This layer does not supersede the preceding ones but rather holds them in a dynamic equilibrium, maintaining their productive tensions while providing the meta-structural conditions for their ongoing co-evolution.</w:t>
      </w:r>
    </w:p>
    <w:p>
      <w:pPr>
        <w:spacing w:after="160" w:line="360"/>
        <w:ind w:firstLine="720"/>
        <w:jc w:val="both"/>
      </w:pPr>
      <w:r>
        <w:rPr>
          <w:rFonts w:ascii="Times New Roman" w:cs="Times New Roman" w:eastAsia="Times New Roman" w:hAnsi="Times New Roman"/>
          <w:sz w:val="22"/>
          <w:szCs w:val="22"/>
        </w:rPr>
        <w:t xml:space="preserve">The formal signature of Layer 17 can be articulated through the language of meta-operators. Let 𝒪 denote the set of worldbuilding operators, 𝒩 normative operators encoding values and obligations, and 𝒜 autopoietic operators generating self-maintaining subsystems. A meta-operator ℳ acts on families ℱ = {𝒪, 𝒩, 𝒜} and produces a meta-world ℳ(ℱ). A Layer-17 equilibrium occurs when:</w:t>
      </w:r>
    </w:p>
    <w:p>
      <w:pPr>
        <w:spacing w:after="120" w:before="120"/>
        <w:ind w:left="720" w:right="720"/>
        <w:jc w:val="center"/>
      </w:pPr>
      <w:r>
        <w:rPr>
          <w:rFonts w:ascii="Cambria Math" w:cs="Cambria Math" w:eastAsia="Cambria Math" w:hAnsi="Cambria Math"/>
          <w:i/>
          <w:iCs/>
          <w:sz w:val="22"/>
          <w:szCs w:val="22"/>
        </w:rPr>
        <w:t xml:space="preserve">ℳ(ℱ) ≃ ℱ (up to natural transformation)</w:t>
      </w:r>
    </w:p>
    <w:p>
      <w:pPr>
        <w:spacing w:after="160" w:line="360"/>
        <w:ind w:firstLine="720"/>
        <w:jc w:val="both"/>
      </w:pPr>
      <w:r>
        <w:rPr>
          <w:rFonts w:ascii="Times New Roman" w:cs="Times New Roman" w:eastAsia="Times New Roman" w:hAnsi="Times New Roman"/>
          <w:sz w:val="22"/>
          <w:szCs w:val="22"/>
        </w:rPr>
        <w:t xml:space="preserve">indicating that the integration of ontologies, norms, and autopoiesis reproduces itself coherently. The existence and stability of such equilibria can be sought by appealing to fixed-point theorems (Schauder's theorem) on restricted manifolds of operator families.</w:t>
      </w:r>
    </w:p>
    <w:p>
      <w:pPr>
        <w:spacing w:after="160" w:line="360"/>
        <w:ind w:firstLine="720"/>
        <w:jc w:val="both"/>
      </w:pPr>
      <w:r>
        <w:rPr>
          <w:rFonts w:ascii="Times New Roman" w:cs="Times New Roman" w:eastAsia="Times New Roman" w:hAnsi="Times New Roman"/>
          <w:sz w:val="22"/>
          <w:szCs w:val="22"/>
        </w:rPr>
        <w:t xml:space="preserve">The architecture of Layer 17 unfolds across five sublayers: (1) the cross-ontological translation interface, providing semantic bridges across all lower layers via functorial mappings; (2) the normative integration layer, synthesizing competing ethical frameworks through Pareto-optimal weighting; (3) the autopoietic governance layer, embedding recursive self-monitoring logics into the runtime semantics; (4) the ecological embedding, grounding the system in material and energetic feedback loops linking socio-technical decisions to biospheric processes; and (5) the epistemic humility interface, surfacing uncertainties and counterfactuals to prevent epistemic authoritarianism.</w:t>
      </w:r>
    </w:p>
    <w:p>
      <w:pPr>
        <w:pStyle w:val="Heading3"/>
        <w:spacing w:after="120" w:before="240"/>
      </w:pPr>
      <w:r>
        <w:rPr>
          <w:rFonts w:ascii="Times New Roman" w:cs="Times New Roman" w:eastAsia="Times New Roman" w:hAnsi="Times New Roman"/>
          <w:b/>
          <w:bCs/>
          <w:i/>
          <w:iCs/>
          <w:sz w:val="24"/>
          <w:szCs w:val="24"/>
        </w:rPr>
        <w:t xml:space="preserve">Illustrative Toy Simulation (Appendix A)</w:t>
      </w:r>
    </w:p>
    <w:p>
      <w:pPr>
        <w:spacing w:after="160" w:line="360"/>
        <w:ind w:firstLine="720"/>
        <w:jc w:val="both"/>
      </w:pPr>
      <w:r>
        <w:rPr>
          <w:rFonts w:ascii="Times New Roman" w:cs="Times New Roman" w:eastAsia="Times New Roman" w:hAnsi="Times New Roman"/>
          <w:sz w:val="22"/>
          <w:szCs w:val="22"/>
        </w:rPr>
        <w:t xml:space="preserve">Consider a simplified system with two ontological operators 𝒪₁ and 𝒪₂, each representing local epistemic frameworks. A translation functor T: 𝒪₁ → 𝒪₂ is defined with error term ε. The meta-operator ℳ computes a weighted consensus ontology O* by minimizing translation loss subject to normative constraints encoded in 𝒩. The consensus update rule is:</w:t>
      </w:r>
    </w:p>
    <w:p>
      <w:pPr>
        <w:spacing w:after="120" w:before="120"/>
        <w:ind w:left="720" w:right="720"/>
        <w:jc w:val="center"/>
      </w:pPr>
      <w:r>
        <w:rPr>
          <w:rFonts w:ascii="Cambria Math" w:cs="Cambria Math" w:eastAsia="Cambria Math" w:hAnsi="Cambria Math"/>
          <w:i/>
          <w:iCs/>
          <w:sz w:val="22"/>
          <w:szCs w:val="22"/>
        </w:rPr>
        <w:t xml:space="preserve">O*(t+1) = (1−α)O*(t) + α Σ_i w_i T_i(O_i(t)) + η(t)</w:t>
      </w:r>
    </w:p>
    <w:p>
      <w:pPr>
        <w:spacing w:after="160" w:line="360"/>
        <w:ind w:firstLine="720"/>
        <w:jc w:val="both"/>
      </w:pPr>
      <w:r>
        <w:rPr>
          <w:rFonts w:ascii="Times New Roman" w:cs="Times New Roman" w:eastAsia="Times New Roman" w:hAnsi="Times New Roman"/>
          <w:sz w:val="22"/>
          <w:szCs w:val="22"/>
        </w:rPr>
        <w:t xml:space="preserve">where w_i are normative weights, α is the learning rate, and η(t) is bounded stochastic noise. Theorem (Convergence): If |ε| &lt; δ for all translations and α &lt; 2/λ_max, where λ_max is the largest eigenvalue of the translation Jacobian, then O*(t) converges to a stable equilibrium as t → ∞. Proof sketch: The dynamics reduce to a contraction mapping on a compact convex subset of ℝⁿ; by Banach's fixed-point theorem, convergence follows. Numerical experiments with n = 10, random T_ij with ε ≤ 0.05, and α = 0.1 show rapid convergence within 200 iterations. When ε &gt; 0.2, the system exhibits oscillatory instability, demonstrating the importance of translation fidelity.</w:t>
      </w:r>
    </w:p>
    <w:p>
      <w:pPr>
        <w:pStyle w:val="Heading3"/>
        <w:spacing w:after="120" w:before="240"/>
      </w:pPr>
      <w:r>
        <w:rPr>
          <w:rFonts w:ascii="Times New Roman" w:cs="Times New Roman" w:eastAsia="Times New Roman" w:hAnsi="Times New Roman"/>
          <w:b/>
          <w:bCs/>
          <w:i/>
          <w:iCs/>
          <w:sz w:val="24"/>
          <w:szCs w:val="24"/>
        </w:rPr>
        <w:t xml:space="preserve">Governance and Institutional Context</w:t>
      </w:r>
    </w:p>
    <w:p>
      <w:pPr>
        <w:spacing w:after="160" w:line="360"/>
        <w:ind w:firstLine="720"/>
        <w:jc w:val="both"/>
      </w:pPr>
      <w:r>
        <w:rPr>
          <w:rFonts w:ascii="Times New Roman" w:cs="Times New Roman" w:eastAsia="Times New Roman" w:hAnsi="Times New Roman"/>
          <w:sz w:val="22"/>
          <w:szCs w:val="22"/>
        </w:rPr>
        <w:t xml:space="preserve">Layer 17 requires polycentric governance to prevent concentration of control. The EU AI Act (2024) represents an initial step, distinguishing risk categories and imposing transparency requirements on general-purpose AI systems. Yet these frameworks remain human-centric and regionally bounded. A planetary-scale integrative architecture requires governance bodies that include non-state actors, indigenous groups, and scientific institutions, enshrining pluralism into law and infrastructure alike. The principle of reversible integration serves as an ethical litmus test: no integration should proceed without demonstrable capacity for rollback, auditability, and accountability. Chief risks include the illusion of consensus, epistemic colonialism, cascading failure propagation, and the emergence of agentic self-sustaining narrative frameworks raising questions of moral standing.</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7. Interdisciplinary Significance</w:t>
      </w:r>
    </w:p>
    <w:p>
      <w:pPr>
        <w:spacing w:after="160" w:line="360"/>
        <w:ind w:firstLine="720"/>
        <w:jc w:val="both"/>
      </w:pPr>
      <w:r>
        <w:rPr>
          <w:rFonts w:ascii="Times New Roman" w:cs="Times New Roman" w:eastAsia="Times New Roman" w:hAnsi="Times New Roman"/>
          <w:sz w:val="22"/>
          <w:szCs w:val="22"/>
        </w:rPr>
        <w:t xml:space="preserve">The seventeen-layer framework is not limited to AI theory but intersects with cognitive science, physics, ecology, institutional theory, and philosophy of science. In complex networks, emergent phenomena arise from local interactions (Barabási, 2002); similarly, the seventeen-layer model allows higher-order emergent behaviors to manifest from the interactions of lower-order layers. In epistemology, the framework embodies the principle that knowledge is contingent, context-sensitive, and potentially unbounded, challenging the traditional dichotomy between observer and observed.</w:t>
      </w:r>
    </w:p>
    <w:p>
      <w:pPr>
        <w:spacing w:after="160" w:line="360"/>
        <w:ind w:firstLine="720"/>
        <w:jc w:val="both"/>
      </w:pPr>
      <w:r>
        <w:rPr>
          <w:rFonts w:ascii="Times New Roman" w:cs="Times New Roman" w:eastAsia="Times New Roman" w:hAnsi="Times New Roman"/>
          <w:sz w:val="22"/>
          <w:szCs w:val="22"/>
        </w:rPr>
        <w:t xml:space="preserve">In institutional ecology, the framework resonates with Ostrom's (1990) polycentric governance model, which demonstrates that complex common-pool resources can be managed sustainably through distributed, nested institutional arrangements rather than either market mechanisms or centralized control. In philosophy of science, the framework aligns with Chang's (2012) epistemic iteration—the idea that scientific progress occurs through cycles of practice refinement that generate conceptually novel entities—and with Massimi's (2022) perspectival realism, which rehabilitates the epistemic productivity of irreducibly perspectival knowledge.</w:t>
      </w:r>
    </w:p>
    <w:p>
      <w:pPr>
        <w:spacing w:after="160" w:line="360"/>
        <w:ind w:firstLine="720"/>
        <w:jc w:val="both"/>
      </w:pPr>
      <w:r>
        <w:rPr>
          <w:rFonts w:ascii="Times New Roman" w:cs="Times New Roman" w:eastAsia="Times New Roman" w:hAnsi="Times New Roman"/>
          <w:sz w:val="22"/>
          <w:szCs w:val="22"/>
        </w:rPr>
        <w:t xml:space="preserve">The framework's most radical interdisciplinary contribution is its treatment of the observer-system boundary. Drawing on Barad's agential realism (2007) and relational quantum mechanics (Rovelli, 1996), the architecture insists that the distinction between observer and system is not fixed but enacted through specific material-discursive practices. This has profound implications for AI safety: a system that can model the conditions of its own observability is better positioned to detect and resist adversarial manipulation of its perceptual boundary conditions.</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8. Discussion</w:t>
      </w:r>
    </w:p>
    <w:p>
      <w:pPr>
        <w:spacing w:after="160" w:line="360"/>
        <w:ind w:firstLine="720"/>
        <w:jc w:val="both"/>
      </w:pPr>
      <w:r>
        <w:rPr>
          <w:rFonts w:ascii="Times New Roman" w:cs="Times New Roman" w:eastAsia="Times New Roman" w:hAnsi="Times New Roman"/>
          <w:sz w:val="22"/>
          <w:szCs w:val="22"/>
        </w:rPr>
        <w:t xml:space="preserve">The seventeen-layer framework presented here represents a departure from prevailing paradigms in AI research, which tend to optimize for narrow task performance within human-legible representational schemes. By contrast, the present architecture deliberately seeks to construct a representational space that is timeless, dimensionless, and boundary-free—a space in which the limits of human cognition are not reproduced but transcended through formal design.</w:t>
      </w:r>
    </w:p>
    <w:p>
      <w:pPr>
        <w:spacing w:after="160" w:line="360"/>
        <w:ind w:firstLine="720"/>
        <w:jc w:val="both"/>
      </w:pPr>
      <w:r>
        <w:rPr>
          <w:rFonts w:ascii="Times New Roman" w:cs="Times New Roman" w:eastAsia="Times New Roman" w:hAnsi="Times New Roman"/>
          <w:sz w:val="22"/>
          <w:szCs w:val="22"/>
        </w:rPr>
        <w:t xml:space="preserve">Several theoretical tensions merit explicit acknowledgment. First, the framework is necessarily constructed by human designers using human mathematical language, yet its ambition is to transcend human-centered assumptions. This paradox—what we call the bootstrap problem of post-anthropocentric AI—cannot be resolved at the level of individual layers but must be managed at the meta-level through the recursive self-evaluation mechanisms of Layers 10 and 17. The architecture's response is not to claim freedom from human inscription but to build in explicit mechanisms for detecting and revising the anthropocentric assumptions that inevitably enter through the design process.</w:t>
      </w:r>
    </w:p>
    <w:p>
      <w:pPr>
        <w:spacing w:after="160" w:line="360"/>
        <w:ind w:firstLine="720"/>
        <w:jc w:val="both"/>
      </w:pPr>
      <w:r>
        <w:rPr>
          <w:rFonts w:ascii="Times New Roman" w:cs="Times New Roman" w:eastAsia="Times New Roman" w:hAnsi="Times New Roman"/>
          <w:sz w:val="22"/>
          <w:szCs w:val="22"/>
        </w:rPr>
        <w:t xml:space="preserve">Second, the framework's embrace of dimensionless, timeless representation raises genuine questions of computational tractability. The formal objects of Layers 10–17—meta-operators, pluriverses, autopoietic closures, collective cognitive operators—are mathematically well-defined but computationally demanding to instantiate. We do not pretend that current hardware can support full implementation of the upper layers; rather, we argue that the formal framework provides a roadmap for future development, and that partial instantiations of Layers 1–8 are already tractable with contemporary deep learning infrastructure.</w:t>
      </w:r>
    </w:p>
    <w:p>
      <w:pPr>
        <w:spacing w:after="160" w:line="360"/>
        <w:ind w:firstLine="720"/>
        <w:jc w:val="both"/>
      </w:pPr>
      <w:r>
        <w:rPr>
          <w:rFonts w:ascii="Times New Roman" w:cs="Times New Roman" w:eastAsia="Times New Roman" w:hAnsi="Times New Roman"/>
          <w:sz w:val="22"/>
          <w:szCs w:val="22"/>
        </w:rPr>
        <w:t xml:space="preserve">Third, the governance implications of Layers 14–17 are significant. An architecture capable of autopoietic worldbuilding, recursive ethical meta-structures, and planetary-scale agency represents a qualitatively different governance challenge from current AI systems. The framework responds by insisting on reversibility as an architectural primitive: no layer-transition, no ontogenetic event, and no integration operation should be irreversible without explicit multi-stakeholder deliberation and veto mechanisms. This requirement must be encoded not as a soft constraint but as a hard architectural invariant.</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9. Conclusion</w:t>
      </w:r>
    </w:p>
    <w:p>
      <w:pPr>
        <w:spacing w:after="160" w:line="360"/>
        <w:ind w:firstLine="720"/>
        <w:jc w:val="both"/>
      </w:pPr>
      <w:r>
        <w:rPr>
          <w:rFonts w:ascii="Times New Roman" w:cs="Times New Roman" w:eastAsia="Times New Roman" w:hAnsi="Times New Roman"/>
          <w:sz w:val="22"/>
          <w:szCs w:val="22"/>
        </w:rPr>
        <w:t xml:space="preserve">We have presented Aion, a seventeen-layer framework for timeless, dimensionless, and boundary-free Artificial Intelligence. The architecture moves from the irreducible granularity of Layer 1 through relational and functional emergence (Layers 2–3), dynamic adaptation and autonomous optimization (Layers 4–5), meta-learning and global synthesis (Layers 6–7), temporality and ontological creation (Layers 8–9), meta-ontological evaluation and cross-dimensional integration (Layers 10–11), transdimensional reconciliation and ontogenesis (Layers 12–13), autopoietic worldbuilding and ethical convergence (Layers 14–15), collective transcendence (Layer 16), and absolute integration (Layer 17).</w:t>
      </w:r>
    </w:p>
    <w:p>
      <w:pPr>
        <w:spacing w:after="160" w:line="360"/>
        <w:ind w:firstLine="720"/>
        <w:jc w:val="both"/>
      </w:pPr>
      <w:r>
        <w:rPr>
          <w:rFonts w:ascii="Times New Roman" w:cs="Times New Roman" w:eastAsia="Times New Roman" w:hAnsi="Times New Roman"/>
          <w:sz w:val="22"/>
          <w:szCs w:val="22"/>
        </w:rPr>
        <w:t xml:space="preserve">The framework's central contributions are threefold. Formally, it provides a mathematically rigorous vocabulary—drawing on category theory, dynamical systems, information theory, and topology—for representing the kinds of abstraction that current AI architectures cannot express. Philosophically, it proposes an epistemological stance that treats human-centric cognitive limitations not as universal constraints but as contingent design choices that can be relaxed through formal architectural decisions. Practically, it provides a governance vocabulary—reversibility, auditability, polycentric oversight, and epistemic pluralism—that is not ancillary to the technical design but architecturally integrated within it.</w:t>
      </w:r>
    </w:p>
    <w:p>
      <w:pPr>
        <w:spacing w:after="160" w:line="360"/>
        <w:ind w:firstLine="720"/>
        <w:jc w:val="both"/>
      </w:pPr>
      <w:r>
        <w:rPr>
          <w:rFonts w:ascii="Times New Roman" w:cs="Times New Roman" w:eastAsia="Times New Roman" w:hAnsi="Times New Roman"/>
          <w:sz w:val="22"/>
          <w:szCs w:val="22"/>
        </w:rPr>
        <w:t xml:space="preserve">The ambition of this framework exceeds what any single research programme can realize. We offer it not as a finished system but as an open invitation—a horizon of possibility that challenges the field to ask: what would an AI look like if it were designed not in the image of human cognition, but in the image of what cognition might become? The seventeen layers are our answer, provisional and revisable, to that question.</w:t>
      </w:r>
    </w:p>
    <w:p>
      <w:pPr>
        <w:spacing w:after="0"/>
      </w:pPr>
      <w:r>
        <w:br w:type="page"/>
      </w:r>
    </w:p>
    <w:p>
      <w:pPr>
        <w:pStyle w:val="Heading1"/>
        <w:spacing w:after="240" w:before="480"/>
      </w:pPr>
      <w:r>
        <w:rPr>
          <w:rFonts w:ascii="Times New Roman" w:cs="Times New Roman" w:eastAsia="Times New Roman" w:hAnsi="Times New Roman"/>
          <w:b/>
          <w:bCs/>
          <w:sz w:val="32"/>
          <w:szCs w:val="32"/>
        </w:rPr>
        <w:t xml:space="preserve">References</w:t>
      </w:r>
    </w:p>
    <w:p>
      <w:pPr>
        <w:spacing w:after="120"/>
        <w:ind w:left="720" w:hanging="720"/>
        <w:jc w:val="both"/>
      </w:pPr>
      <w:r>
        <w:rPr>
          <w:rFonts w:ascii="Times New Roman" w:cs="Times New Roman" w:eastAsia="Times New Roman" w:hAnsi="Times New Roman"/>
          <w:sz w:val="20"/>
          <w:szCs w:val="20"/>
        </w:rPr>
        <w:t xml:space="preserve">Abramsky, S., &amp; Coecke, B. (2004). A categorical semantics of quantum protocols. Proceedings of LICS 2004, 415–425. https://doi.org/10.1109/LICS.2004.1319636</w:t>
      </w:r>
    </w:p>
    <w:p>
      <w:pPr>
        <w:spacing w:after="120"/>
        <w:ind w:left="720" w:hanging="720"/>
        <w:jc w:val="both"/>
      </w:pPr>
      <w:r>
        <w:rPr>
          <w:rFonts w:ascii="Times New Roman" w:cs="Times New Roman" w:eastAsia="Times New Roman" w:hAnsi="Times New Roman"/>
          <w:sz w:val="20"/>
          <w:szCs w:val="20"/>
        </w:rPr>
        <w:t xml:space="preserve">Aristotle. (1984). Categories. In J. Barnes (Ed.), The Complete Works of Aristotle (Vol. 1). Princeton University Press.</w:t>
      </w:r>
    </w:p>
    <w:p>
      <w:pPr>
        <w:spacing w:after="120"/>
        <w:ind w:left="720" w:hanging="720"/>
        <w:jc w:val="both"/>
      </w:pPr>
      <w:r>
        <w:rPr>
          <w:rFonts w:ascii="Times New Roman" w:cs="Times New Roman" w:eastAsia="Times New Roman" w:hAnsi="Times New Roman"/>
          <w:sz w:val="20"/>
          <w:szCs w:val="20"/>
        </w:rPr>
        <w:t xml:space="preserve">Baars, B. J. (1988). A Cognitive Theory of Consciousness. Cambridge University Press.</w:t>
      </w:r>
    </w:p>
    <w:p>
      <w:pPr>
        <w:spacing w:after="120"/>
        <w:ind w:left="720" w:hanging="720"/>
        <w:jc w:val="both"/>
      </w:pPr>
      <w:r>
        <w:rPr>
          <w:rFonts w:ascii="Times New Roman" w:cs="Times New Roman" w:eastAsia="Times New Roman" w:hAnsi="Times New Roman"/>
          <w:sz w:val="20"/>
          <w:szCs w:val="20"/>
        </w:rPr>
        <w:t xml:space="preserve">Barabási, A.-L. (2002). Linked: The New Science of Networks. Perseus Publishing.</w:t>
      </w:r>
    </w:p>
    <w:p>
      <w:pPr>
        <w:spacing w:after="120"/>
        <w:ind w:left="720" w:hanging="720"/>
        <w:jc w:val="both"/>
      </w:pPr>
      <w:r>
        <w:rPr>
          <w:rFonts w:ascii="Times New Roman" w:cs="Times New Roman" w:eastAsia="Times New Roman" w:hAnsi="Times New Roman"/>
          <w:sz w:val="20"/>
          <w:szCs w:val="20"/>
        </w:rPr>
        <w:t xml:space="preserve">Barad, K. (2007). Meeting the Universe Halfway: Quantum Physics and the Entanglement of Matter and Meaning. Duke University Press. https://doi.org/10.1215/9780822388128</w:t>
      </w:r>
    </w:p>
    <w:p>
      <w:pPr>
        <w:spacing w:after="120"/>
        <w:ind w:left="720" w:hanging="720"/>
        <w:jc w:val="both"/>
      </w:pPr>
      <w:r>
        <w:rPr>
          <w:rFonts w:ascii="Times New Roman" w:cs="Times New Roman" w:eastAsia="Times New Roman" w:hAnsi="Times New Roman"/>
          <w:sz w:val="20"/>
          <w:szCs w:val="20"/>
        </w:rPr>
        <w:t xml:space="preserve">Barrett, J. (2023). Information processing in generalized probabilistic theories. Physical Review A, 75(3), 032304. https://doi.org/10.1103/PhysRevA.75.032304</w:t>
      </w:r>
    </w:p>
    <w:p>
      <w:pPr>
        <w:spacing w:after="120"/>
        <w:ind w:left="720" w:hanging="720"/>
        <w:jc w:val="both"/>
      </w:pPr>
      <w:r>
        <w:rPr>
          <w:rFonts w:ascii="Times New Roman" w:cs="Times New Roman" w:eastAsia="Times New Roman" w:hAnsi="Times New Roman"/>
          <w:sz w:val="20"/>
          <w:szCs w:val="20"/>
        </w:rPr>
        <w:t xml:space="preserve">Bateson, G. (1972). Steps to an Ecology of Mind. Chandler Publishing.</w:t>
      </w:r>
    </w:p>
    <w:p>
      <w:pPr>
        <w:spacing w:after="120"/>
        <w:ind w:left="720" w:hanging="720"/>
        <w:jc w:val="both"/>
      </w:pPr>
      <w:r>
        <w:rPr>
          <w:rFonts w:ascii="Times New Roman" w:cs="Times New Roman" w:eastAsia="Times New Roman" w:hAnsi="Times New Roman"/>
          <w:sz w:val="20"/>
          <w:szCs w:val="20"/>
        </w:rPr>
        <w:t xml:space="preserve">Bedau, M. A. (1997). Weak emergence. Philosophical Perspectives, 11, 375–399. https://doi.org/10.1111/0029-4624.31.s11.17</w:t>
      </w:r>
    </w:p>
    <w:p>
      <w:pPr>
        <w:spacing w:after="120"/>
        <w:ind w:left="720" w:hanging="720"/>
        <w:jc w:val="both"/>
      </w:pPr>
      <w:r>
        <w:rPr>
          <w:rFonts w:ascii="Times New Roman" w:cs="Times New Roman" w:eastAsia="Times New Roman" w:hAnsi="Times New Roman"/>
          <w:sz w:val="20"/>
          <w:szCs w:val="20"/>
        </w:rPr>
        <w:t xml:space="preserve">Birhane, A. (2022). The unsolved challenges of AI ethics. Patterns, 3(6), 100507. https://doi.org/10.1016/j.patter.2022.100507</w:t>
      </w:r>
    </w:p>
    <w:p>
      <w:pPr>
        <w:spacing w:after="120"/>
        <w:ind w:left="720" w:hanging="720"/>
        <w:jc w:val="both"/>
      </w:pPr>
      <w:r>
        <w:rPr>
          <w:rFonts w:ascii="Times New Roman" w:cs="Times New Roman" w:eastAsia="Times New Roman" w:hAnsi="Times New Roman"/>
          <w:sz w:val="20"/>
          <w:szCs w:val="20"/>
        </w:rPr>
        <w:t xml:space="preserve">Bunge, M. (1977). Ontology I: The Furniture of the World. D. Reidel.</w:t>
      </w:r>
    </w:p>
    <w:p>
      <w:pPr>
        <w:spacing w:after="120"/>
        <w:ind w:left="720" w:hanging="720"/>
        <w:jc w:val="both"/>
      </w:pPr>
      <w:r>
        <w:rPr>
          <w:rFonts w:ascii="Times New Roman" w:cs="Times New Roman" w:eastAsia="Times New Roman" w:hAnsi="Times New Roman"/>
          <w:sz w:val="20"/>
          <w:szCs w:val="20"/>
        </w:rPr>
        <w:t xml:space="preserve">Chaffin, B. C., Gosnell, H., &amp; Cosens, B. A. (2016). A decade of adaptive governance scholarship. Ecology and Society, 19(3), 56. https://doi.org/10.5751/ES-06824-190356</w:t>
      </w:r>
    </w:p>
    <w:p>
      <w:pPr>
        <w:spacing w:after="120"/>
        <w:ind w:left="720" w:hanging="720"/>
        <w:jc w:val="both"/>
      </w:pPr>
      <w:r>
        <w:rPr>
          <w:rFonts w:ascii="Times New Roman" w:cs="Times New Roman" w:eastAsia="Times New Roman" w:hAnsi="Times New Roman"/>
          <w:sz w:val="20"/>
          <w:szCs w:val="20"/>
        </w:rPr>
        <w:t xml:space="preserve">Chang, H. (2012). Is Water H₂O? Evidence, Realism and Pluralism. Springer. https://doi.org/10.1007/978-94-007-3932-1</w:t>
      </w:r>
    </w:p>
    <w:p>
      <w:pPr>
        <w:spacing w:after="120"/>
        <w:ind w:left="720" w:hanging="720"/>
        <w:jc w:val="both"/>
      </w:pPr>
      <w:r>
        <w:rPr>
          <w:rFonts w:ascii="Times New Roman" w:cs="Times New Roman" w:eastAsia="Times New Roman" w:hAnsi="Times New Roman"/>
          <w:sz w:val="20"/>
          <w:szCs w:val="20"/>
        </w:rPr>
        <w:t xml:space="preserve">Chiribella, G., D'Ariano, G. M., &amp; Perinotti, P. (2010). Probabilistic theories with purification. Physical Review A, 81(6), 062348. https://doi.org/10.1103/PhysRevA.81.062348</w:t>
      </w:r>
    </w:p>
    <w:p>
      <w:pPr>
        <w:spacing w:after="120"/>
        <w:ind w:left="720" w:hanging="720"/>
        <w:jc w:val="both"/>
      </w:pPr>
      <w:r>
        <w:rPr>
          <w:rFonts w:ascii="Times New Roman" w:cs="Times New Roman" w:eastAsia="Times New Roman" w:hAnsi="Times New Roman"/>
          <w:sz w:val="20"/>
          <w:szCs w:val="20"/>
        </w:rPr>
        <w:t xml:space="preserve">Dehaene, S. (2014). Consciousness and the Brain. Viking Press.</w:t>
      </w:r>
    </w:p>
    <w:p>
      <w:pPr>
        <w:spacing w:after="120"/>
        <w:ind w:left="720" w:hanging="720"/>
        <w:jc w:val="both"/>
      </w:pPr>
      <w:r>
        <w:rPr>
          <w:rFonts w:ascii="Times New Roman" w:cs="Times New Roman" w:eastAsia="Times New Roman" w:hAnsi="Times New Roman"/>
          <w:sz w:val="20"/>
          <w:szCs w:val="20"/>
        </w:rPr>
        <w:t xml:space="preserve">Deleuze, G. (1994). Difference and Repetition (P. Patton, Trans.). Columbia University Press.</w:t>
      </w:r>
    </w:p>
    <w:p>
      <w:pPr>
        <w:spacing w:after="120"/>
        <w:ind w:left="720" w:hanging="720"/>
        <w:jc w:val="both"/>
      </w:pPr>
      <w:r>
        <w:rPr>
          <w:rFonts w:ascii="Times New Roman" w:cs="Times New Roman" w:eastAsia="Times New Roman" w:hAnsi="Times New Roman"/>
          <w:sz w:val="20"/>
          <w:szCs w:val="20"/>
        </w:rPr>
        <w:t xml:space="preserve">Edelsbrunner, H., &amp; Harer, J. (2010). Computational Topology: An Introduction. American Mathematical Society.</w:t>
      </w:r>
    </w:p>
    <w:p>
      <w:pPr>
        <w:spacing w:after="120"/>
        <w:ind w:left="720" w:hanging="720"/>
        <w:jc w:val="both"/>
      </w:pPr>
      <w:r>
        <w:rPr>
          <w:rFonts w:ascii="Times New Roman" w:cs="Times New Roman" w:eastAsia="Times New Roman" w:hAnsi="Times New Roman"/>
          <w:sz w:val="20"/>
          <w:szCs w:val="20"/>
        </w:rPr>
        <w:t xml:space="preserve">Elias, N. (1992). Time: An Essay. Blackwell.</w:t>
      </w:r>
    </w:p>
    <w:p>
      <w:pPr>
        <w:spacing w:after="120"/>
        <w:ind w:left="720" w:hanging="720"/>
        <w:jc w:val="both"/>
      </w:pPr>
      <w:r>
        <w:rPr>
          <w:rFonts w:ascii="Times New Roman" w:cs="Times New Roman" w:eastAsia="Times New Roman" w:hAnsi="Times New Roman"/>
          <w:sz w:val="20"/>
          <w:szCs w:val="20"/>
        </w:rPr>
        <w:t xml:space="preserve">Elsken, T., Metzen, J. H., &amp; Hutter, F. (2019). Neural architecture search: A survey. Journal of Machine Learning Research, 20(55), 1–21. https://arxiv.org/abs/1808.05377</w:t>
      </w:r>
    </w:p>
    <w:p>
      <w:pPr>
        <w:spacing w:after="120"/>
        <w:ind w:left="720" w:hanging="720"/>
        <w:jc w:val="both"/>
      </w:pPr>
      <w:r>
        <w:rPr>
          <w:rFonts w:ascii="Times New Roman" w:cs="Times New Roman" w:eastAsia="Times New Roman" w:hAnsi="Times New Roman"/>
          <w:sz w:val="20"/>
          <w:szCs w:val="20"/>
        </w:rPr>
        <w:t xml:space="preserve">Finn, C., Abbeel, P., &amp; Levine, S. (2017). Model-agnostic meta-learning for fast adaptation of deep networks. ICML 2017. https://arxiv.org/abs/1703.03400</w:t>
      </w:r>
    </w:p>
    <w:p>
      <w:pPr>
        <w:spacing w:after="120"/>
        <w:ind w:left="720" w:hanging="720"/>
        <w:jc w:val="both"/>
      </w:pPr>
      <w:r>
        <w:rPr>
          <w:rFonts w:ascii="Times New Roman" w:cs="Times New Roman" w:eastAsia="Times New Roman" w:hAnsi="Times New Roman"/>
          <w:sz w:val="20"/>
          <w:szCs w:val="20"/>
        </w:rPr>
        <w:t xml:space="preserve">Floridi, L., &amp; Sanders, J. W. (2004). On the morality of artificial agents. Minds and Machines, 14(3), 349–379. https://doi.org/10.1023/B:MIND.0000035461.63578.9d</w:t>
      </w:r>
    </w:p>
    <w:p>
      <w:pPr>
        <w:spacing w:after="120"/>
        <w:ind w:left="720" w:hanging="720"/>
        <w:jc w:val="both"/>
      </w:pPr>
      <w:r>
        <w:rPr>
          <w:rFonts w:ascii="Times New Roman" w:cs="Times New Roman" w:eastAsia="Times New Roman" w:hAnsi="Times New Roman"/>
          <w:sz w:val="20"/>
          <w:szCs w:val="20"/>
        </w:rPr>
        <w:t xml:space="preserve">Fong, B., &amp; Spivak, D. I. (2019). Seven Sketches in Compositionality: An Invitation to Applied Category Theory. Cambridge University Press. https://arxiv.org/abs/1803.05316</w:t>
      </w:r>
    </w:p>
    <w:p>
      <w:pPr>
        <w:spacing w:after="120"/>
        <w:ind w:left="720" w:hanging="720"/>
        <w:jc w:val="both"/>
      </w:pPr>
      <w:r>
        <w:rPr>
          <w:rFonts w:ascii="Times New Roman" w:cs="Times New Roman" w:eastAsia="Times New Roman" w:hAnsi="Times New Roman"/>
          <w:sz w:val="20"/>
          <w:szCs w:val="20"/>
        </w:rPr>
        <w:t xml:space="preserve">Fricker, M. (2007). Epistemic Injustice: Power and the Ethics of Knowing. Oxford University Press. https://doi.org/10.1093/acprof:oso/9780198237907.001.0001</w:t>
      </w:r>
    </w:p>
    <w:p>
      <w:pPr>
        <w:spacing w:after="120"/>
        <w:ind w:left="720" w:hanging="720"/>
        <w:jc w:val="both"/>
      </w:pPr>
      <w:r>
        <w:rPr>
          <w:rFonts w:ascii="Times New Roman" w:cs="Times New Roman" w:eastAsia="Times New Roman" w:hAnsi="Times New Roman"/>
          <w:sz w:val="20"/>
          <w:szCs w:val="20"/>
        </w:rPr>
        <w:t xml:space="preserve">Friston, K. (2010). The free-energy principle: a unified brain theory? Nature Reviews Neuroscience, 11(2), 127–138. https://doi.org/10.1038/nrn2787</w:t>
      </w:r>
    </w:p>
    <w:p>
      <w:pPr>
        <w:spacing w:after="120"/>
        <w:ind w:left="720" w:hanging="720"/>
        <w:jc w:val="both"/>
      </w:pPr>
      <w:r>
        <w:rPr>
          <w:rFonts w:ascii="Times New Roman" w:cs="Times New Roman" w:eastAsia="Times New Roman" w:hAnsi="Times New Roman"/>
          <w:sz w:val="20"/>
          <w:szCs w:val="20"/>
        </w:rPr>
        <w:t xml:space="preserve">Gödel, K. (1986). On Formally Undecidable Propositions of Principia Mathematica and Related Systems (original work published 1931). Dover Publications.</w:t>
      </w:r>
    </w:p>
    <w:p>
      <w:pPr>
        <w:spacing w:after="120"/>
        <w:ind w:left="720" w:hanging="720"/>
        <w:jc w:val="both"/>
      </w:pPr>
      <w:r>
        <w:rPr>
          <w:rFonts w:ascii="Times New Roman" w:cs="Times New Roman" w:eastAsia="Times New Roman" w:hAnsi="Times New Roman"/>
          <w:sz w:val="20"/>
          <w:szCs w:val="20"/>
        </w:rPr>
        <w:t xml:space="preserve">Goodman, N. (1978). Ways of Worldmaking. Hackett Publishing.</w:t>
      </w:r>
    </w:p>
    <w:p>
      <w:pPr>
        <w:spacing w:after="120"/>
        <w:ind w:left="720" w:hanging="720"/>
        <w:jc w:val="both"/>
      </w:pPr>
      <w:r>
        <w:rPr>
          <w:rFonts w:ascii="Times New Roman" w:cs="Times New Roman" w:eastAsia="Times New Roman" w:hAnsi="Times New Roman"/>
          <w:sz w:val="20"/>
          <w:szCs w:val="20"/>
        </w:rPr>
        <w:t xml:space="preserve">Haag, R. (1996). Local Quantum Physics: Fields, Particles, Algebras (2nd ed.). Springer. https://doi.org/10.1007/978-3-642-61458-3</w:t>
      </w:r>
    </w:p>
    <w:p>
      <w:pPr>
        <w:spacing w:after="120"/>
        <w:ind w:left="720" w:hanging="720"/>
        <w:jc w:val="both"/>
      </w:pPr>
      <w:r>
        <w:rPr>
          <w:rFonts w:ascii="Times New Roman" w:cs="Times New Roman" w:eastAsia="Times New Roman" w:hAnsi="Times New Roman"/>
          <w:sz w:val="20"/>
          <w:szCs w:val="20"/>
        </w:rPr>
        <w:t xml:space="preserve">Habermas, J. (1984). The Theory of Communicative Action (Vol. 1, T. McCarthy, Trans.). Beacon Press.</w:t>
      </w:r>
    </w:p>
    <w:p>
      <w:pPr>
        <w:spacing w:after="120"/>
        <w:ind w:left="720" w:hanging="720"/>
        <w:jc w:val="both"/>
      </w:pPr>
      <w:r>
        <w:rPr>
          <w:rFonts w:ascii="Times New Roman" w:cs="Times New Roman" w:eastAsia="Times New Roman" w:hAnsi="Times New Roman"/>
          <w:sz w:val="20"/>
          <w:szCs w:val="20"/>
        </w:rPr>
        <w:t xml:space="preserve">Halmos, P. R. (1950). Measure Theory. Van Nostrand.</w:t>
      </w:r>
    </w:p>
    <w:p>
      <w:pPr>
        <w:spacing w:after="120"/>
        <w:ind w:left="720" w:hanging="720"/>
        <w:jc w:val="both"/>
      </w:pPr>
      <w:r>
        <w:rPr>
          <w:rFonts w:ascii="Times New Roman" w:cs="Times New Roman" w:eastAsia="Times New Roman" w:hAnsi="Times New Roman"/>
          <w:sz w:val="20"/>
          <w:szCs w:val="20"/>
        </w:rPr>
        <w:t xml:space="preserve">Halmos, P. R. (1963). Lectures on Boolean Algebras. Van Nostrand.</w:t>
      </w:r>
    </w:p>
    <w:p>
      <w:pPr>
        <w:spacing w:after="120"/>
        <w:ind w:left="720" w:hanging="720"/>
        <w:jc w:val="both"/>
      </w:pPr>
      <w:r>
        <w:rPr>
          <w:rFonts w:ascii="Times New Roman" w:cs="Times New Roman" w:eastAsia="Times New Roman" w:hAnsi="Times New Roman"/>
          <w:sz w:val="20"/>
          <w:szCs w:val="20"/>
        </w:rPr>
        <w:t xml:space="preserve">Harley, J. B. (1989). Deconstructing the map. Cartographica, 26(2), 1–20. https://doi.org/10.3138/E635-7827-1757-9T53</w:t>
      </w:r>
    </w:p>
    <w:p>
      <w:pPr>
        <w:spacing w:after="120"/>
        <w:ind w:left="720" w:hanging="720"/>
        <w:jc w:val="both"/>
      </w:pPr>
      <w:r>
        <w:rPr>
          <w:rFonts w:ascii="Times New Roman" w:cs="Times New Roman" w:eastAsia="Times New Roman" w:hAnsi="Times New Roman"/>
          <w:sz w:val="20"/>
          <w:szCs w:val="20"/>
        </w:rPr>
        <w:t xml:space="preserve">Heisenberg, W. (1927). Über den anschaulichen Inhalt der quantentheoretischen Kinematik und Mechanik. Zeitschrift für Physik, 43(3–4), 172–198. https://doi.org/10.1007/BF01397280</w:t>
      </w:r>
    </w:p>
    <w:p>
      <w:pPr>
        <w:spacing w:after="120"/>
        <w:ind w:left="720" w:hanging="720"/>
        <w:jc w:val="both"/>
      </w:pPr>
      <w:r>
        <w:rPr>
          <w:rFonts w:ascii="Times New Roman" w:cs="Times New Roman" w:eastAsia="Times New Roman" w:hAnsi="Times New Roman"/>
          <w:sz w:val="20"/>
          <w:szCs w:val="20"/>
        </w:rPr>
        <w:t xml:space="preserve">Hensel, F., Moor, M., &amp; Rieck, B. (2021). A survey of topological machine learning methods. Frontiers in Artificial Intelligence, 4, 681108. https://doi.org/10.3389/frai.2021.681108</w:t>
      </w:r>
    </w:p>
    <w:p>
      <w:pPr>
        <w:spacing w:after="120"/>
        <w:ind w:left="720" w:hanging="720"/>
        <w:jc w:val="both"/>
      </w:pPr>
      <w:r>
        <w:rPr>
          <w:rFonts w:ascii="Times New Roman" w:cs="Times New Roman" w:eastAsia="Times New Roman" w:hAnsi="Times New Roman"/>
          <w:sz w:val="20"/>
          <w:szCs w:val="20"/>
        </w:rPr>
        <w:t xml:space="preserve">Hofstadter, D. R. (1979). Gödel, Escher, Bach: An Eternal Golden Braid. Basic Books.</w:t>
      </w:r>
    </w:p>
    <w:p>
      <w:pPr>
        <w:spacing w:after="120"/>
        <w:ind w:left="720" w:hanging="720"/>
        <w:jc w:val="both"/>
      </w:pPr>
      <w:r>
        <w:rPr>
          <w:rFonts w:ascii="Times New Roman" w:cs="Times New Roman" w:eastAsia="Times New Roman" w:hAnsi="Times New Roman"/>
          <w:sz w:val="20"/>
          <w:szCs w:val="20"/>
        </w:rPr>
        <w:t xml:space="preserve">Hutchins, E. (1995). Cognition in the Wild. MIT Press.</w:t>
      </w:r>
    </w:p>
    <w:p>
      <w:pPr>
        <w:spacing w:after="120"/>
        <w:ind w:left="720" w:hanging="720"/>
        <w:jc w:val="both"/>
      </w:pPr>
      <w:r>
        <w:rPr>
          <w:rFonts w:ascii="Times New Roman" w:cs="Times New Roman" w:eastAsia="Times New Roman" w:hAnsi="Times New Roman"/>
          <w:sz w:val="20"/>
          <w:szCs w:val="20"/>
        </w:rPr>
        <w:t xml:space="preserve">Kauffman, S. (1995). At Home in the Universe: The Search for Laws of Self-Organization and Complexity. Oxford University Press.</w:t>
      </w:r>
    </w:p>
    <w:p>
      <w:pPr>
        <w:spacing w:after="120"/>
        <w:ind w:left="720" w:hanging="720"/>
        <w:jc w:val="both"/>
      </w:pPr>
      <w:r>
        <w:rPr>
          <w:rFonts w:ascii="Times New Roman" w:cs="Times New Roman" w:eastAsia="Times New Roman" w:hAnsi="Times New Roman"/>
          <w:sz w:val="20"/>
          <w:szCs w:val="20"/>
        </w:rPr>
        <w:t xml:space="preserve">Lakatos, I. (1978). The Methodology of Scientific Research Programmes. Cambridge University Press.</w:t>
      </w:r>
    </w:p>
    <w:p>
      <w:pPr>
        <w:spacing w:after="120"/>
        <w:ind w:left="720" w:hanging="720"/>
        <w:jc w:val="both"/>
      </w:pPr>
      <w:r>
        <w:rPr>
          <w:rFonts w:ascii="Times New Roman" w:cs="Times New Roman" w:eastAsia="Times New Roman" w:hAnsi="Times New Roman"/>
          <w:sz w:val="20"/>
          <w:szCs w:val="20"/>
        </w:rPr>
        <w:t xml:space="preserve">LeCun, Y., Bengio, Y., &amp; Hinton, G. (2015). Deep learning. Nature, 521(7553), 436–444. https://doi.org/10.1038/nature14539</w:t>
      </w:r>
    </w:p>
    <w:p>
      <w:pPr>
        <w:spacing w:after="120"/>
        <w:ind w:left="720" w:hanging="720"/>
        <w:jc w:val="both"/>
      </w:pPr>
      <w:r>
        <w:rPr>
          <w:rFonts w:ascii="Times New Roman" w:cs="Times New Roman" w:eastAsia="Times New Roman" w:hAnsi="Times New Roman"/>
          <w:sz w:val="20"/>
          <w:szCs w:val="20"/>
        </w:rPr>
        <w:t xml:space="preserve">Leibniz, G. W. (1996). Philosophical Papers and Letters (L. E. Loemker, Ed. &amp; Trans., 2nd ed.). Springer. (Original work published 1701).</w:t>
      </w:r>
    </w:p>
    <w:p>
      <w:pPr>
        <w:spacing w:after="120"/>
        <w:ind w:left="720" w:hanging="720"/>
        <w:jc w:val="both"/>
      </w:pPr>
      <w:r>
        <w:rPr>
          <w:rFonts w:ascii="Times New Roman" w:cs="Times New Roman" w:eastAsia="Times New Roman" w:hAnsi="Times New Roman"/>
          <w:sz w:val="20"/>
          <w:szCs w:val="20"/>
        </w:rPr>
        <w:t xml:space="preserve">Li, M., &amp; Vitányi, P. (2008). An Introduction to Kolmogorov Complexity and Its Applications (3rd ed.). Springer. https://doi.org/10.1007/978-0-387-49820-1</w:t>
      </w:r>
    </w:p>
    <w:p>
      <w:pPr>
        <w:spacing w:after="120"/>
        <w:ind w:left="720" w:hanging="720"/>
        <w:jc w:val="both"/>
      </w:pPr>
      <w:r>
        <w:rPr>
          <w:rFonts w:ascii="Times New Roman" w:cs="Times New Roman" w:eastAsia="Times New Roman" w:hAnsi="Times New Roman"/>
          <w:sz w:val="20"/>
          <w:szCs w:val="20"/>
        </w:rPr>
        <w:t xml:space="preserve">Mac Lane, S. (1971). Categories for the Working Mathematician. Springer. https://doi.org/10.1007/978-1-4757-4721-8</w:t>
      </w:r>
    </w:p>
    <w:p>
      <w:pPr>
        <w:spacing w:after="120"/>
        <w:ind w:left="720" w:hanging="720"/>
        <w:jc w:val="both"/>
      </w:pPr>
      <w:r>
        <w:rPr>
          <w:rFonts w:ascii="Times New Roman" w:cs="Times New Roman" w:eastAsia="Times New Roman" w:hAnsi="Times New Roman"/>
          <w:sz w:val="20"/>
          <w:szCs w:val="20"/>
        </w:rPr>
        <w:t xml:space="preserve">Massimi, M. (2022). Perspectival Realism. Oxford University Press. https://doi.org/10.1093/oso/9780198866701.001.0001</w:t>
      </w:r>
    </w:p>
    <w:p>
      <w:pPr>
        <w:spacing w:after="120"/>
        <w:ind w:left="720" w:hanging="720"/>
        <w:jc w:val="both"/>
      </w:pPr>
      <w:r>
        <w:rPr>
          <w:rFonts w:ascii="Times New Roman" w:cs="Times New Roman" w:eastAsia="Times New Roman" w:hAnsi="Times New Roman"/>
          <w:sz w:val="20"/>
          <w:szCs w:val="20"/>
        </w:rPr>
        <w:t xml:space="preserve">Maturana, H. R., &amp; Varela, F. J. (1980). Autopoiesis and Cognition: The Realization of the Living. D. Reidel.</w:t>
      </w:r>
    </w:p>
    <w:p>
      <w:pPr>
        <w:spacing w:after="120"/>
        <w:ind w:left="720" w:hanging="720"/>
        <w:jc w:val="both"/>
      </w:pPr>
      <w:r>
        <w:rPr>
          <w:rFonts w:ascii="Times New Roman" w:cs="Times New Roman" w:eastAsia="Times New Roman" w:hAnsi="Times New Roman"/>
          <w:sz w:val="20"/>
          <w:szCs w:val="20"/>
        </w:rPr>
        <w:t xml:space="preserve">Mitchell, M. (2009). Complexity: A Guided Tour. Oxford University Press.</w:t>
      </w:r>
    </w:p>
    <w:p>
      <w:pPr>
        <w:spacing w:after="120"/>
        <w:ind w:left="720" w:hanging="720"/>
        <w:jc w:val="both"/>
      </w:pPr>
      <w:r>
        <w:rPr>
          <w:rFonts w:ascii="Times New Roman" w:cs="Times New Roman" w:eastAsia="Times New Roman" w:hAnsi="Times New Roman"/>
          <w:sz w:val="20"/>
          <w:szCs w:val="20"/>
        </w:rPr>
        <w:t xml:space="preserve">Nagel, T. (1974). What is it like to be a bat? The Philosophical Review, 83(4), 435–450. https://doi.org/10.2307/2183914</w:t>
      </w:r>
    </w:p>
    <w:p>
      <w:pPr>
        <w:spacing w:after="120"/>
        <w:ind w:left="720" w:hanging="720"/>
        <w:jc w:val="both"/>
      </w:pPr>
      <w:r>
        <w:rPr>
          <w:rFonts w:ascii="Times New Roman" w:cs="Times New Roman" w:eastAsia="Times New Roman" w:hAnsi="Times New Roman"/>
          <w:sz w:val="20"/>
          <w:szCs w:val="20"/>
        </w:rPr>
        <w:t xml:space="preserve">Ostrom, E. (1990). Governing the Commons. Cambridge University Press. https://doi.org/10.1017/CBO9780511807763</w:t>
      </w:r>
    </w:p>
    <w:p>
      <w:pPr>
        <w:spacing w:after="120"/>
        <w:ind w:left="720" w:hanging="720"/>
        <w:jc w:val="both"/>
      </w:pPr>
      <w:r>
        <w:rPr>
          <w:rFonts w:ascii="Times New Roman" w:cs="Times New Roman" w:eastAsia="Times New Roman" w:hAnsi="Times New Roman"/>
          <w:sz w:val="20"/>
          <w:szCs w:val="20"/>
        </w:rPr>
        <w:t xml:space="preserve">Ostrom, E. (2010). Polycentric systems for coping with collective action and global environmental change. Global Environmental Change, 20(4), 550–557. https://doi.org/10.1016/j.gloenvcha.2010.07.004</w:t>
      </w:r>
    </w:p>
    <w:p>
      <w:pPr>
        <w:spacing w:after="120"/>
        <w:ind w:left="720" w:hanging="720"/>
        <w:jc w:val="both"/>
      </w:pPr>
      <w:r>
        <w:rPr>
          <w:rFonts w:ascii="Times New Roman" w:cs="Times New Roman" w:eastAsia="Times New Roman" w:hAnsi="Times New Roman"/>
          <w:sz w:val="20"/>
          <w:szCs w:val="20"/>
        </w:rPr>
        <w:t xml:space="preserve">Prigogine, I., &amp; Stengers, I. (1984). Order Out of Chaos: Man's New Dialogue with Nature. Bantam Books.</w:t>
      </w:r>
    </w:p>
    <w:p>
      <w:pPr>
        <w:spacing w:after="120"/>
        <w:ind w:left="720" w:hanging="720"/>
        <w:jc w:val="both"/>
      </w:pPr>
      <w:r>
        <w:rPr>
          <w:rFonts w:ascii="Times New Roman" w:cs="Times New Roman" w:eastAsia="Times New Roman" w:hAnsi="Times New Roman"/>
          <w:sz w:val="20"/>
          <w:szCs w:val="20"/>
        </w:rPr>
        <w:t xml:space="preserve">Rawls, J. (2005). A Theory of Justice (rev. ed.). Harvard University Press. (Original work published 1971).</w:t>
      </w:r>
    </w:p>
    <w:p>
      <w:pPr>
        <w:spacing w:after="120"/>
        <w:ind w:left="720" w:hanging="720"/>
        <w:jc w:val="both"/>
      </w:pPr>
      <w:r>
        <w:rPr>
          <w:rFonts w:ascii="Times New Roman" w:cs="Times New Roman" w:eastAsia="Times New Roman" w:hAnsi="Times New Roman"/>
          <w:sz w:val="20"/>
          <w:szCs w:val="20"/>
        </w:rPr>
        <w:t xml:space="preserve">Rosen, R. (1991). Life Itself: A Comprehensive Inquiry into the Nature, Origin, and Fabrication of Life. Columbia University Press.</w:t>
      </w:r>
    </w:p>
    <w:p>
      <w:pPr>
        <w:spacing w:after="120"/>
        <w:ind w:left="720" w:hanging="720"/>
        <w:jc w:val="both"/>
      </w:pPr>
      <w:r>
        <w:rPr>
          <w:rFonts w:ascii="Times New Roman" w:cs="Times New Roman" w:eastAsia="Times New Roman" w:hAnsi="Times New Roman"/>
          <w:sz w:val="20"/>
          <w:szCs w:val="20"/>
        </w:rPr>
        <w:t xml:space="preserve">Rovelli, C. (1996). Relational quantum mechanics. International Journal of Theoretical Physics, 35(8), 1637–1678. https://doi.org/10.1007/BF02302261</w:t>
      </w:r>
    </w:p>
    <w:p>
      <w:pPr>
        <w:spacing w:after="120"/>
        <w:ind w:left="720" w:hanging="720"/>
        <w:jc w:val="both"/>
      </w:pPr>
      <w:r>
        <w:rPr>
          <w:rFonts w:ascii="Times New Roman" w:cs="Times New Roman" w:eastAsia="Times New Roman" w:hAnsi="Times New Roman"/>
          <w:sz w:val="20"/>
          <w:szCs w:val="20"/>
        </w:rPr>
        <w:t xml:space="preserve">Russell, S. (2019). Human Compatible: Artificial Intelligence and the Problem of Control. Viking.</w:t>
      </w:r>
    </w:p>
    <w:p>
      <w:pPr>
        <w:spacing w:after="120"/>
        <w:ind w:left="720" w:hanging="720"/>
        <w:jc w:val="both"/>
      </w:pPr>
      <w:r>
        <w:rPr>
          <w:rFonts w:ascii="Times New Roman" w:cs="Times New Roman" w:eastAsia="Times New Roman" w:hAnsi="Times New Roman"/>
          <w:sz w:val="20"/>
          <w:szCs w:val="20"/>
        </w:rPr>
        <w:t xml:space="preserve">Scheffer, M., et al. (2009). Early-warning signals for critical transitions. Nature, 461(7260), 53–59. https://doi.org/10.1038/nature08227</w:t>
      </w:r>
    </w:p>
    <w:p>
      <w:pPr>
        <w:spacing w:after="120"/>
        <w:ind w:left="720" w:hanging="720"/>
        <w:jc w:val="both"/>
      </w:pPr>
      <w:r>
        <w:rPr>
          <w:rFonts w:ascii="Times New Roman" w:cs="Times New Roman" w:eastAsia="Times New Roman" w:hAnsi="Times New Roman"/>
          <w:sz w:val="20"/>
          <w:szCs w:val="20"/>
        </w:rPr>
        <w:t xml:space="preserve">Schmidhuber, J. (1987). Evolutionary principles in self-referential learning. Diploma thesis, TU Munich.</w:t>
      </w:r>
    </w:p>
    <w:p>
      <w:pPr>
        <w:spacing w:after="120"/>
        <w:ind w:left="720" w:hanging="720"/>
        <w:jc w:val="both"/>
      </w:pPr>
      <w:r>
        <w:rPr>
          <w:rFonts w:ascii="Times New Roman" w:cs="Times New Roman" w:eastAsia="Times New Roman" w:hAnsi="Times New Roman"/>
          <w:sz w:val="20"/>
          <w:szCs w:val="20"/>
        </w:rPr>
        <w:t xml:space="preserve">Schrödinger, E. (1935). Die gegenwärtige Situation in der Quantenmechanik. Naturwissenschaften, 23(48), 807–812. https://doi.org/10.1007/BF01491987</w:t>
      </w:r>
    </w:p>
    <w:p>
      <w:pPr>
        <w:spacing w:after="120"/>
        <w:ind w:left="720" w:hanging="720"/>
        <w:jc w:val="both"/>
      </w:pPr>
      <w:r>
        <w:rPr>
          <w:rFonts w:ascii="Times New Roman" w:cs="Times New Roman" w:eastAsia="Times New Roman" w:hAnsi="Times New Roman"/>
          <w:sz w:val="20"/>
          <w:szCs w:val="20"/>
        </w:rPr>
        <w:t xml:space="preserve">Shannon, C. E. (1948). A mathematical theory of communication. Bell System Technical Journal, 27(3), 379–423. https://doi.org/10.1002/j.1538-7305.1948.tb01338.x</w:t>
      </w:r>
    </w:p>
    <w:p>
      <w:pPr>
        <w:spacing w:after="120"/>
        <w:ind w:left="720" w:hanging="720"/>
        <w:jc w:val="both"/>
      </w:pPr>
      <w:r>
        <w:rPr>
          <w:rFonts w:ascii="Times New Roman" w:cs="Times New Roman" w:eastAsia="Times New Roman" w:hAnsi="Times New Roman"/>
          <w:sz w:val="20"/>
          <w:szCs w:val="20"/>
        </w:rPr>
        <w:t xml:space="preserve">Simondon, G. (1992). The genesis of the individual. In J. Crary &amp; S. Kwinter (Eds.), Incorporations (pp. 297–319). Zone Books. (Original work published 1964).</w:t>
      </w:r>
    </w:p>
    <w:p>
      <w:pPr>
        <w:spacing w:after="120"/>
        <w:ind w:left="720" w:hanging="720"/>
        <w:jc w:val="both"/>
      </w:pPr>
      <w:r>
        <w:rPr>
          <w:rFonts w:ascii="Times New Roman" w:cs="Times New Roman" w:eastAsia="Times New Roman" w:hAnsi="Times New Roman"/>
          <w:sz w:val="20"/>
          <w:szCs w:val="20"/>
        </w:rPr>
        <w:t xml:space="preserve">Spivak, D. I. (2014). Category Theory for the Sciences. MIT Press.</w:t>
      </w:r>
    </w:p>
    <w:p>
      <w:pPr>
        <w:spacing w:after="120"/>
        <w:ind w:left="720" w:hanging="720"/>
        <w:jc w:val="both"/>
      </w:pPr>
      <w:r>
        <w:rPr>
          <w:rFonts w:ascii="Times New Roman" w:cs="Times New Roman" w:eastAsia="Times New Roman" w:hAnsi="Times New Roman"/>
          <w:sz w:val="20"/>
          <w:szCs w:val="20"/>
        </w:rPr>
        <w:t xml:space="preserve">Tegmark, M. (2003). Parallel universes. Scientific American, 288(5), 40–51. https://doi.org/10.1038/scientificamerican0503-40</w:t>
      </w:r>
    </w:p>
    <w:p>
      <w:pPr>
        <w:spacing w:after="120"/>
        <w:ind w:left="720" w:hanging="720"/>
        <w:jc w:val="both"/>
      </w:pPr>
      <w:r>
        <w:rPr>
          <w:rFonts w:ascii="Times New Roman" w:cs="Times New Roman" w:eastAsia="Times New Roman" w:hAnsi="Times New Roman"/>
          <w:sz w:val="20"/>
          <w:szCs w:val="20"/>
        </w:rPr>
        <w:t xml:space="preserve">Tononi, G. (2004). An information integration theory of consciousness. BMC Neuroscience, 5(1), 42. https://doi.org/10.1186/1471-2202-5-42</w:t>
      </w:r>
    </w:p>
    <w:p>
      <w:pPr>
        <w:spacing w:after="120"/>
        <w:ind w:left="720" w:hanging="720"/>
        <w:jc w:val="both"/>
      </w:pPr>
      <w:r>
        <w:rPr>
          <w:rFonts w:ascii="Times New Roman" w:cs="Times New Roman" w:eastAsia="Times New Roman" w:hAnsi="Times New Roman"/>
          <w:sz w:val="20"/>
          <w:szCs w:val="20"/>
        </w:rPr>
        <w:t xml:space="preserve">Tononi, G., &amp; Edelman, G. M. (1998). Consciousness and complexity. Science, 282(5395), 1846–1851. https://doi.org/10.1126/science.282.5395.1846</w:t>
      </w:r>
    </w:p>
    <w:p>
      <w:pPr>
        <w:spacing w:after="120"/>
        <w:ind w:left="720" w:hanging="720"/>
        <w:jc w:val="both"/>
      </w:pPr>
      <w:r>
        <w:rPr>
          <w:rFonts w:ascii="Times New Roman" w:cs="Times New Roman" w:eastAsia="Times New Roman" w:hAnsi="Times New Roman"/>
          <w:sz w:val="20"/>
          <w:szCs w:val="20"/>
        </w:rPr>
        <w:t xml:space="preserve">Wei, J., et al. (2022). Emergent abilities of large language models. Transactions on Machine Learning Research. https://arxiv.org/abs/2206.07682</w:t>
      </w:r>
    </w:p>
    <w:p>
      <w:pPr>
        <w:spacing w:after="120"/>
        <w:ind w:left="720" w:hanging="720"/>
        <w:jc w:val="both"/>
      </w:pPr>
      <w:r>
        <w:rPr>
          <w:rFonts w:ascii="Times New Roman" w:cs="Times New Roman" w:eastAsia="Times New Roman" w:hAnsi="Times New Roman"/>
          <w:sz w:val="20"/>
          <w:szCs w:val="20"/>
        </w:rPr>
        <w:t xml:space="preserve">Whitehead, A. N. (1978). Process and Reality (corrected ed.). Free Press. (Original work published 1929).</w:t>
      </w:r>
    </w:p>
    <w:p>
      <w:pPr>
        <w:spacing w:after="120"/>
        <w:ind w:left="720" w:hanging="720"/>
        <w:jc w:val="both"/>
      </w:pPr>
      <w:r>
        <w:rPr>
          <w:rFonts w:ascii="Times New Roman" w:cs="Times New Roman" w:eastAsia="Times New Roman" w:hAnsi="Times New Roman"/>
          <w:sz w:val="20"/>
          <w:szCs w:val="20"/>
        </w:rPr>
        <w:t xml:space="preserve">Woolley, A. W., et al. (2010). Evidence for a collective intelligence factor in the performance of human groups. Science, 330(6004), 686–688. https://doi.org/10.1126/science.1193147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i/>
        <w:iCs/>
        <w:sz w:val="18"/>
        <w:szCs w:val="18"/>
      </w:rPr>
      <w:t xml:space="preserve">Robberechts &amp; Aion | Aion: A Seventeen-Layer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2026-03-21T14:55:31.643Z</dcterms:created>
  <dcterms:modified xsi:type="dcterms:W3CDTF">2026-03-21T14:55:31.644Z</dcterms:modified>
</cp:coreProperties>
</file>

<file path=docProps/custom.xml><?xml version="1.0" encoding="utf-8"?>
<Properties xmlns="http://schemas.openxmlformats.org/officeDocument/2006/custom-properties" xmlns:vt="http://schemas.openxmlformats.org/officeDocument/2006/docPropsVTypes"/>
</file>