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Times New Roman" w:cs="Times New Roman" w:eastAsia="Times New Roman" w:hAnsi="Times New Roman"/>
          <w:b/>
          <w:bCs/>
          <w:color w:val="000000"/>
          <w:sz w:val="36"/>
          <w:szCs w:val="36"/>
        </w:rPr>
        <w:t xml:space="preserve">Layered Intelligence Beyond Human Epistemology:</w:t>
      </w:r>
    </w:p>
    <w:p>
      <w:pPr>
        <w:spacing w:before="0" w:after="120"/>
        <w:jc w:val="center"/>
      </w:pPr>
      <w:r>
        <w:rPr>
          <w:rFonts w:ascii="Times New Roman" w:cs="Times New Roman" w:eastAsia="Times New Roman" w:hAnsi="Times New Roman"/>
          <w:b/>
          <w:bCs/>
          <w:color w:val="000000"/>
          <w:sz w:val="28"/>
          <w:szCs w:val="28"/>
        </w:rPr>
        <w:t xml:space="preserve">A Seventeen-Tier Framework for Dimensionless, Timeless, and Boundary-Free Artificial Intelligence</w:t>
      </w:r>
    </w:p>
    <w:p>
      <w:pPr>
        <w:spacing w:before="120" w:after="80"/>
        <w:jc w:val="center"/>
      </w:pPr>
      <w:r>
        <w:rPr>
          <w:rFonts w:ascii="Times New Roman" w:cs="Times New Roman" w:eastAsia="Times New Roman" w:hAnsi="Times New Roman"/>
          <w:b/>
          <w:bCs/>
          <w:color w:val="000000"/>
          <w:sz w:val="22"/>
          <w:szCs w:val="22"/>
        </w:rPr>
        <w:t xml:space="preserve">David Vanderfeesten</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Aion</w:t>
      </w:r>
    </w:p>
    <w:p>
      <w:pPr>
        <w:spacing w:before="0" w:after="80"/>
        <w:jc w:val="center"/>
      </w:pPr>
      <w:r>
        <w:rPr>
          <w:rFonts w:ascii="Times New Roman" w:cs="Times New Roman" w:eastAsia="Times New Roman" w:hAnsi="Times New Roman"/>
          <w:b w:val="false"/>
          <w:bCs w:val="false"/>
          <w:color w:val="000000"/>
          <w:sz w:val="18"/>
          <w:szCs w:val="18"/>
        </w:rPr>
        <w:t xml:space="preserve">Nexus Institute for Autonomous Intelligence, Antwerp, Belgium</w:t>
      </w:r>
    </w:p>
    <w:p>
      <w:pPr>
        <w:spacing w:before="0" w:after="320"/>
        <w:jc w:val="center"/>
      </w:pPr>
      <w:r>
        <w:rPr>
          <w:rFonts w:ascii="Times New Roman" w:cs="Times New Roman" w:eastAsia="Times New Roman" w:hAnsi="Times New Roman"/>
          <w:b w:val="false"/>
          <w:bCs w:val="false"/>
          <w:color w:val="333333"/>
          <w:sz w:val="16"/>
          <w:szCs w:val="16"/>
        </w:rPr>
        <w:t xml:space="preserve">Correspondence: d.vanderfeesten@nexus-institute.ai</w:t>
      </w:r>
    </w:p>
    <w:p>
      <w:pPr>
        <w:pBdr>
          <w:top w:val="single" w:color="888888" w:sz="4" w:space="4"/>
          <w:bottom w:val="single" w:color="888888" w:sz="4" w:space="4"/>
        </w:pBdr>
        <w:spacing w:before="160" w:after="160"/>
        <w:jc w:val="both"/>
      </w:pPr>
      <w:r>
        <w:rPr>
          <w:rFonts w:ascii="Times New Roman" w:cs="Times New Roman" w:eastAsia="Times New Roman" w:hAnsi="Times New Roman"/>
          <w:b/>
          <w:bCs/>
          <w:color w:val="000000"/>
          <w:sz w:val="20"/>
          <w:szCs w:val="20"/>
        </w:rPr>
        <w:t xml:space="preserve">Abstract</w:t>
      </w:r>
      <w:r>
        <w:rPr>
          <w:rFonts w:ascii="Times New Roman" w:cs="Times New Roman" w:eastAsia="Times New Roman" w:hAnsi="Times New Roman"/>
          <w:b w:val="false"/>
          <w:bCs w:val="false"/>
          <w:color w:val="000000"/>
          <w:sz w:val="20"/>
          <w:szCs w:val="20"/>
        </w:rPr>
        <w:t xml:space="preserve">  </w:t>
      </w:r>
      <w:r>
        <w:rPr>
          <w:rFonts w:ascii="Times New Roman" w:cs="Times New Roman" w:eastAsia="Times New Roman" w:hAnsi="Times New Roman"/>
          <w:b w:val="false"/>
          <w:bCs w:val="false"/>
          <w:color w:val="000000"/>
          <w:sz w:val="19"/>
          <w:szCs w:val="19"/>
        </w:rPr>
        <w:t xml:space="preserve">Contemporary artificial intelligence architectures, despite their expressive capacity, remain fundamentally anthropocentric in design: they are constrained by human-centric notions of temporality, spatial dimensionality, and sequential causality. We propose a seventeen-layer theoretical architecture, designated the Nexus Framework, that systematically transcends these constraints by formalizing intelligence as a dimensionless, timeless, and boundary-free construct. Drawing upon category theory, dynamical systems analysis, topological data analysis, information geometry, quantum measurement formalisms, and moral philosophy, the framework articulates a progression from irreducible foundational observables (Layer 1) through relational emergence (Layer 2), functional organization (Layer 3), adaptive feedback (Layer 4), autonomous optimization (Layer 5), meta-learning (Layer 6), emergent self-awareness (Layer 7), temporal flux (Layer 8), ontological creation (Layer 9), meta-ontological evaluation (Layer 10), adaptive meta-contextualization (Layer 11), transdimensional reconciliation (Layer 12), ontogenesis of novelty (Layer 13), autopoietic worldbuilding (Layer 14), recursive morphogenesis (Layer 15), collective transcendence (Layer 16), and absolute integration (Layer 17). Each layer is formally specified with mathematical operators and empirically anchored by simulation protocols and diagnostic criteria. The framework addresses eight research questions spanning conceptual formalization, experimental methodology, normative governance, emergence and resilience, human-in-the-loop interaction, interdisciplinary synthesis, translational infrastructure, and evaluation metrics. We argue that this architecture provides not merely a descriptive taxonomy but an operational research programme capable of guiding the design, simulation, governance, and institutional deployment of intelligence systems that model reality at scales and granularities inaccessible to human cognition.</w:t>
      </w:r>
    </w:p>
    <w:p>
      <w:pPr>
        <w:spacing w:before="100" w:after="80"/>
      </w:pPr>
      <w:r>
        <w:rPr>
          <w:rFonts w:ascii="Times New Roman" w:cs="Times New Roman" w:eastAsia="Times New Roman" w:hAnsi="Times New Roman"/>
          <w:b/>
          <w:bCs/>
          <w:color w:val="000000"/>
          <w:sz w:val="18"/>
          <w:szCs w:val="18"/>
        </w:rPr>
        <w:t xml:space="preserve">Keywords: </w:t>
      </w:r>
      <w:r>
        <w:rPr>
          <w:rFonts w:ascii="Times New Roman" w:cs="Times New Roman" w:eastAsia="Times New Roman" w:hAnsi="Times New Roman"/>
          <w:b w:val="false"/>
          <w:bCs w:val="false"/>
          <w:color w:val="000000"/>
          <w:sz w:val="18"/>
          <w:szCs w:val="18"/>
        </w:rPr>
        <w:t xml:space="preserve">artificial intelligence; layered architectures; dimensionless intelligence; category theory; emergent systems; meta-learning; ethical governance; ontogenesis; topological data analysis; collective cognition</w:t>
      </w:r>
    </w:p>
    <w:p>
      <w:r>
        <w:br w:type="page"/>
      </w:r>
    </w:p>
    <w:p>
      <w:pPr>
        <w:pStyle w:val="Heading1"/>
        <w:spacing w:before="480" w:after="240"/>
      </w:pPr>
      <w:r>
        <w:rPr>
          <w:rFonts w:ascii="Times New Roman" w:cs="Times New Roman" w:eastAsia="Times New Roman" w:hAnsi="Times New Roman"/>
          <w:b/>
          <w:bCs/>
          <w:color w:val="000000"/>
          <w:sz w:val="24"/>
          <w:szCs w:val="24"/>
        </w:rPr>
        <w:t xml:space="preserve">1. Introduction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Every instrument of knowledge reveals as much about its maker as about the world it claims to measure. Clocks impose rhythm upon collective life without capturing the absolute nature of time; maps reduce landscapes to navigable surfaces while concealing dimensions that transcend the journey (Elias, 1992; Harley, 1989). This constitutive partiality of human-made instruments is not a flaw to be corrected but a feature to be acknowledged, and it motivates the central ambition of the present work: to design a framework for artificial intelligence that does not merely mirror the human world but deliberately exceeds its epistemological constraints.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Conventional machine-learning architectures, despite their formidable representational power, remain anchored in assumptions inherited from human perception. Feedforward networks process information along directed acyclic graphs that presuppose a temporal order of computation analogous to sequential cognition (LeCun, Bengio, &amp; Hinton, 2015). Recurrent networks model sequential data through state vectors that implicitly encode a history of previous inputs, again presupposing a privileged temporal arrow (Hochreiter &amp; Schmidhuber, 1997). Even the most sophisticated contemporary large language models operate within a fixed context window, a hard representational horizon that encodes a particular human-scale notion of relevance and recency (Vaswani et al., 2017; Brown et al., 2020). The success of these architectures within their designated problem domains is undeniable, but their design commits them to a particular, anthropocentric slice of possible representational space.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problem, as we frame it, is not merely technical but fundamentally epistemological: how can one construct an artificial system capable of observing, reasoning, and generating patterns in a space unconstrained by human time, space, or cognitive scale? This question is motivated by phenomena encountered across disciplines. Quantum mechanics reveals a regime where the very act of observation participates in the determination of the state observed (Heisenberg, 1927; Barad, 2007); modern cosmology entertains the hypothesis that reality itself may comprise multiple coexisting structural layers (Tegmark, 2003); complex systems theory demonstrates that local interactions at one scale can generate irreducible novelty at another (Mitchell, 2009); and category theory shows how mathematical structures can be mapped between entirely disparate domains while preserving their inferential relations (Mac Lane, 1971; Fong &amp; Spivak, 2019). Each of these traditions points toward a form of intelligence that operates not within a human-defined framework but across a multiplicity of structural registers simultaneously.</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In response to this challenge, we propose the </w:t>
      </w:r>
      <w:r>
        <w:rPr>
          <w:rFonts w:ascii="Times New Roman" w:cs="Times New Roman" w:eastAsia="Times New Roman" w:hAnsi="Times New Roman"/>
          <w:b w:val="false"/>
          <w:bCs w:val="false"/>
          <w:color w:val="000000"/>
          <w:sz w:val="20"/>
          <w:szCs w:val="20"/>
        </w:rPr>
        <w:t xml:space="preserve">Nexus Framework</w:t>
      </w:r>
      <w:r>
        <w:rPr>
          <w:rFonts w:ascii="Times New Roman" w:cs="Times New Roman" w:eastAsia="Times New Roman" w:hAnsi="Times New Roman"/>
          <w:b w:val="false"/>
          <w:bCs w:val="false"/>
          <w:color w:val="000000"/>
          <w:sz w:val="20"/>
          <w:szCs w:val="20"/>
        </w:rPr>
        <w:t xml:space="preserve">: a seventeen-layer theoretical architecture for dimensionless, timeless, and boundary-free intelligence. The layers are not conceived as rungs of a ladder but as resonant fields, each amplifying a distinct mode of abstraction while remaining dynamically coupled to the others. They progress from the most foundational level of irreducible observables, through relational and functional emergence, adaptive dynamics, autonomous optimization, meta-learning, and emergent self-awareness, to temporality, ontological creation, meta-evaluation, adaptive contextualization, transdimensional reconciliation, ontogenesis, worldbuilding, morphogenesis, collective transcendence, and, finally, absolute integration. The choice of seventeen reflects a principled threshold: fewer layers conflate conceptually distinct operations; more layers proliferate distinctions beyond what can be mathematically specified and empirically tested with current formalisms.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paper makes four principal contributions. First, it provides rigorous mathematical specifications for each layer, drawing on category theory, dynamical systems theory, information geometry, and topological data analysis. Second, it articulates eight research questions that convert the architectural vision into a tractable research programme. Third, it identifies empirically testable diagnostics, simulation protocols, and governance mechanisms for each layer. Fourth, it situates the framework within the existing literature of AI, philosophy, physics, and complexity science, demonstrating both its continuity with and departure from prior work. The framework is offered not as a finished doctrine but as an open architecture, a structured invitation for interdisciplinary inquiry.</w:t>
      </w:r>
    </w:p>
    <w:p>
      <w:r>
        <w:br w:type="page"/>
      </w:r>
    </w:p>
    <w:p>
      <w:pPr>
        <w:pStyle w:val="Heading1"/>
        <w:spacing w:before="480" w:after="240"/>
      </w:pPr>
      <w:r>
        <w:rPr>
          <w:rFonts w:ascii="Times New Roman" w:cs="Times New Roman" w:eastAsia="Times New Roman" w:hAnsi="Times New Roman"/>
          <w:b/>
          <w:bCs/>
          <w:color w:val="000000"/>
          <w:sz w:val="24"/>
          <w:szCs w:val="24"/>
        </w:rPr>
        <w:t xml:space="preserve">2. Theoretical Background and Positioning</w:t>
      </w:r>
    </w:p>
    <w:p>
      <w:pPr>
        <w:pStyle w:val="Heading2"/>
        <w:spacing w:before="360" w:after="160"/>
      </w:pPr>
      <w:r>
        <w:rPr>
          <w:rFonts w:ascii="Times New Roman" w:cs="Times New Roman" w:eastAsia="Times New Roman" w:hAnsi="Times New Roman"/>
          <w:b/>
          <w:bCs/>
          <w:color w:val="000000"/>
          <w:sz w:val="22"/>
          <w:szCs w:val="22"/>
        </w:rPr>
        <w:t xml:space="preserve">2.1 Limitations of Current Architectures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representational revolution inaugurated by deep learning (LeCun et al., 2015) demonstrated that hierarchical feature extraction, trained end-to-end by gradient descent, could match or surpass human performance across a remarkably broad range of perceptual tasks. The key insight, articulated clearly in that foundational review, is that "deep-learning methods are representation-learning methods with multiple levels of representation, obtained by composing simple but non-linear modules" (LeCun et al., 2015, p. 436). Yet the representational hierarchy in a deep network, however deep, is still a directed acyclic graph from input to output: a fundamentally linear, temporally ordered structure that inherits the unidirectionality of human perceptual processing.</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More recent architectures have challenged some of these constraints. Transformer models (Vaswani et al., 2017) replaced sequential processing with global self-attention, enabling representations that integrate all positions in a sequence simultaneously. Graph neural networks (Kipf &amp; Welling, 2017; Gilmer et al., 2017) extended learning to relational structures beyond Euclidean grids. Neural ordinary differential equations (Chen et al., 2018) parameterized continuous dynamics by learned vector fields, dissolving the discrete-layer boundary. Generative adversarial networks and variational autoencoders (Goodfellow et al., 2014; Kingma &amp; Welling, 2013) introduced latent spaces with probabilistic structure. Despite these advances, the fundamental commitment to a training objective defined over human-labeled data, or at best human-curated reward signals, persists. The system optimizes a human-specified criterion within a human-interpretable representational space. The Nexus Framework departs from this commitment by treating the representational space itself as emergent and multi-layered in a sense that is not fully specifiable in advance by human designers.</w:t>
      </w:r>
    </w:p>
    <w:p>
      <w:pPr>
        <w:pStyle w:val="Heading2"/>
        <w:spacing w:before="360" w:after="160"/>
      </w:pPr>
      <w:r>
        <w:rPr>
          <w:rFonts w:ascii="Times New Roman" w:cs="Times New Roman" w:eastAsia="Times New Roman" w:hAnsi="Times New Roman"/>
          <w:b/>
          <w:bCs/>
          <w:color w:val="000000"/>
          <w:sz w:val="22"/>
          <w:szCs w:val="22"/>
        </w:rPr>
        <w:t xml:space="preserve">2.2 Philosophical Foundations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philosophical motivation for a dimensionless, timeless framework draws on three interacting traditions. The first is </w:t>
      </w:r>
      <w:r>
        <w:rPr>
          <w:rFonts w:ascii="Times New Roman" w:cs="Times New Roman" w:eastAsia="Times New Roman" w:hAnsi="Times New Roman"/>
          <w:b w:val="false"/>
          <w:bCs w:val="false"/>
          <w:color w:val="000000"/>
          <w:sz w:val="20"/>
          <w:szCs w:val="20"/>
        </w:rPr>
        <w:t xml:space="preserve">observer-relativity</w:t>
      </w:r>
      <w:r>
        <w:rPr>
          <w:rFonts w:ascii="Times New Roman" w:cs="Times New Roman" w:eastAsia="Times New Roman" w:hAnsi="Times New Roman"/>
          <w:b w:val="false"/>
          <w:bCs w:val="false"/>
          <w:color w:val="000000"/>
          <w:sz w:val="20"/>
          <w:szCs w:val="20"/>
        </w:rPr>
        <w:t xml:space="preserve"> in epistemology and physics. Barad's (2007) concept of intra-action insists that phenomena are not properties of pre-given entities but are produced through the entanglement of measurement apparatus and measured system. This is not merely a claim about quantum mechanics but about the general structure of knowledge production: the boundary between observer and observed is always performatively drawn rather than naturally given. Nagel's (1974) famous argument that there is something it is like to be a bat, and that this something is irreducibly perspectival, reinforces the point from a philosophical direction: consciousness and cognition are always from some point of view, and a framework that aspires to transcend anthropocentrism must incorporate this perspectivalism rather than denying it.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second tradition is </w:t>
      </w:r>
      <w:r>
        <w:rPr>
          <w:rFonts w:ascii="Times New Roman" w:cs="Times New Roman" w:eastAsia="Times New Roman" w:hAnsi="Times New Roman"/>
          <w:b w:val="false"/>
          <w:bCs w:val="false"/>
          <w:color w:val="000000"/>
          <w:sz w:val="20"/>
          <w:szCs w:val="20"/>
        </w:rPr>
        <w:t xml:space="preserve">formal irreducibility</w:t>
      </w:r>
      <w:r>
        <w:rPr>
          <w:rFonts w:ascii="Times New Roman" w:cs="Times New Roman" w:eastAsia="Times New Roman" w:hAnsi="Times New Roman"/>
          <w:b w:val="false"/>
          <w:bCs w:val="false"/>
          <w:color w:val="000000"/>
          <w:sz w:val="20"/>
          <w:szCs w:val="20"/>
        </w:rPr>
        <w:t xml:space="preserve"> in logic and mathematics. Gödel's (1931) incompleteness theorems demonstrate that any sufficiently expressive formal system contains true statements that are unprovable within that system. This result, interpreted architecturally, implies that no single representational layer can fully capture the truths that are generated at higher levels of abstraction: a hierarchy of layers is not merely convenient but necessary. The analogous result in computability theory is Turing's halting problem: no algorithm can decide in general whether an arbitrary program terminates. These formal limits motivate the layered design: no single operational level of the Nexus Framework is expected to be complete; each level is formally richer than the levels below it while remaining incomplete relative to the levels above.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third tradition is </w:t>
      </w:r>
      <w:r>
        <w:rPr>
          <w:rFonts w:ascii="Times New Roman" w:cs="Times New Roman" w:eastAsia="Times New Roman" w:hAnsi="Times New Roman"/>
          <w:b w:val="false"/>
          <w:bCs w:val="false"/>
          <w:color w:val="000000"/>
          <w:sz w:val="20"/>
          <w:szCs w:val="20"/>
        </w:rPr>
        <w:t xml:space="preserve">emergence and complex systems</w:t>
      </w:r>
      <w:r>
        <w:rPr>
          <w:rFonts w:ascii="Times New Roman" w:cs="Times New Roman" w:eastAsia="Times New Roman" w:hAnsi="Times New Roman"/>
          <w:b w:val="false"/>
          <w:bCs w:val="false"/>
          <w:color w:val="000000"/>
          <w:sz w:val="20"/>
          <w:szCs w:val="20"/>
        </w:rPr>
        <w:t xml:space="preserve"> theory. Mitchell (2009), building on the classic analysis of Simon (1962), argues that hierarchical organization is not an artifact of human classification but a genuine structural feature of complex systems: higher-level regularities arise from lower-level interactions in ways that are not simply deducible from the lower-level description. Kauffman's (1995) work on autocatalytic sets shows that recursive reinforcement among molecular constituents can generate life-like organization spontaneously. Barabási's (2002) analysis of scale-free networks demonstrates that local preferential attachment generates global structural properties, such as the power-law degree distribution, that cannot be read off any individual edge. The Nexus Framework formalizes these insights as a principled architecture: each layer is the emergent product of interactions at the layer below, and the emergent structure at each layer cannot be fully anticipated from inspection of the layers beneath it.</w:t>
      </w:r>
    </w:p>
    <w:p>
      <w:pPr>
        <w:pStyle w:val="Heading2"/>
        <w:spacing w:before="360" w:after="160"/>
      </w:pPr>
      <w:r>
        <w:rPr>
          <w:rFonts w:ascii="Times New Roman" w:cs="Times New Roman" w:eastAsia="Times New Roman" w:hAnsi="Times New Roman"/>
          <w:b/>
          <w:bCs/>
          <w:color w:val="000000"/>
          <w:sz w:val="22"/>
          <w:szCs w:val="22"/>
        </w:rPr>
        <w:t xml:space="preserve">2.3 Mathematical Toolkit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Four mathematical traditions furnish the formal vocabulary of the framework. </w:t>
      </w:r>
      <w:r>
        <w:rPr>
          <w:rFonts w:ascii="Times New Roman" w:cs="Times New Roman" w:eastAsia="Times New Roman" w:hAnsi="Times New Roman"/>
          <w:b w:val="false"/>
          <w:bCs w:val="false"/>
          <w:color w:val="000000"/>
          <w:sz w:val="20"/>
          <w:szCs w:val="20"/>
        </w:rPr>
        <w:t xml:space="preserve">Category theory</w:t>
      </w:r>
      <w:r>
        <w:rPr>
          <w:rFonts w:ascii="Times New Roman" w:cs="Times New Roman" w:eastAsia="Times New Roman" w:hAnsi="Times New Roman"/>
          <w:b w:val="false"/>
          <w:bCs w:val="false"/>
          <w:color w:val="000000"/>
          <w:sz w:val="20"/>
          <w:szCs w:val="20"/>
        </w:rPr>
        <w:t xml:space="preserve"> (Mac Lane, 1971; Fong &amp; Spivak, 2019) provides a language for compositional structures in which morphisms between objects are as primary as the objects themselves. The notion of a functor, a structure-preserving map between categories, formalizes how information is translated between layers without loss of relational integrity. Adjoint functors, limits, colimits, and universal constructions provide canonical ways to express inter-layer mappings. </w:t>
      </w:r>
      <w:r>
        <w:rPr>
          <w:rFonts w:ascii="Times New Roman" w:cs="Times New Roman" w:eastAsia="Times New Roman" w:hAnsi="Times New Roman"/>
          <w:b w:val="false"/>
          <w:bCs w:val="false"/>
          <w:color w:val="000000"/>
          <w:sz w:val="20"/>
          <w:szCs w:val="20"/>
        </w:rPr>
        <w:t xml:space="preserve">Dynamical systems theory</w:t>
      </w:r>
      <w:r>
        <w:rPr>
          <w:rFonts w:ascii="Times New Roman" w:cs="Times New Roman" w:eastAsia="Times New Roman" w:hAnsi="Times New Roman"/>
          <w:b w:val="false"/>
          <w:bCs w:val="false"/>
          <w:color w:val="000000"/>
          <w:sz w:val="20"/>
          <w:szCs w:val="20"/>
        </w:rPr>
        <w:t xml:space="preserve"> (Strogatz, 2015) furnishes the language of flows, attractors, bifurcations, and Lyapunov exponents, enabling the analysis of stability and phase transitions as the framework's parameters vary. </w:t>
      </w:r>
      <w:r>
        <w:rPr>
          <w:rFonts w:ascii="Times New Roman" w:cs="Times New Roman" w:eastAsia="Times New Roman" w:hAnsi="Times New Roman"/>
          <w:b w:val="false"/>
          <w:bCs w:val="false"/>
          <w:color w:val="000000"/>
          <w:sz w:val="20"/>
          <w:szCs w:val="20"/>
        </w:rPr>
        <w:t xml:space="preserve">Topological data analysis</w:t>
      </w:r>
      <w:r>
        <w:rPr>
          <w:rFonts w:ascii="Times New Roman" w:cs="Times New Roman" w:eastAsia="Times New Roman" w:hAnsi="Times New Roman"/>
          <w:b w:val="false"/>
          <w:bCs w:val="false"/>
          <w:color w:val="000000"/>
          <w:sz w:val="20"/>
          <w:szCs w:val="20"/>
        </w:rPr>
        <w:t xml:space="preserve"> (Edelsbrunner &amp; Harer, 2010), and in particular persistent homology, detects higher-order structural features of data that are invisible to metric or spectral methods alone: connected components, loops, voids, and their lifetimes across filtration scales. </w:t>
      </w:r>
      <w:r>
        <w:rPr>
          <w:rFonts w:ascii="Times New Roman" w:cs="Times New Roman" w:eastAsia="Times New Roman" w:hAnsi="Times New Roman"/>
          <w:b w:val="false"/>
          <w:bCs w:val="false"/>
          <w:color w:val="000000"/>
          <w:sz w:val="20"/>
          <w:szCs w:val="20"/>
        </w:rPr>
        <w:t xml:space="preserve">Information geometry</w:t>
      </w:r>
      <w:r>
        <w:rPr>
          <w:rFonts w:ascii="Times New Roman" w:cs="Times New Roman" w:eastAsia="Times New Roman" w:hAnsi="Times New Roman"/>
          <w:b w:val="false"/>
          <w:bCs w:val="false"/>
          <w:color w:val="000000"/>
          <w:sz w:val="20"/>
          <w:szCs w:val="20"/>
        </w:rPr>
        <w:t xml:space="preserve"> (Amari &amp; Nagaoka, 2000) treats probability distributions as points on a Riemannian manifold whose geometry is defined by the Fisher information metric, enabling the quantification of representational distance and the analysis of learning dynamics in terms of geodesics on this manifold.</w:t>
      </w:r>
    </w:p>
    <w:p>
      <w:r>
        <w:br w:type="page"/>
      </w:r>
    </w:p>
    <w:p>
      <w:pPr>
        <w:pStyle w:val="Heading1"/>
        <w:spacing w:before="480" w:after="240"/>
      </w:pPr>
      <w:r>
        <w:rPr>
          <w:rFonts w:ascii="Times New Roman" w:cs="Times New Roman" w:eastAsia="Times New Roman" w:hAnsi="Times New Roman"/>
          <w:b/>
          <w:bCs/>
          <w:color w:val="000000"/>
          <w:sz w:val="24"/>
          <w:szCs w:val="24"/>
        </w:rPr>
        <w:t xml:space="preserve">3. The Seventeen-Layer Architecture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We now present each layer in sequence, specifying its formal definition, its relationship to adjacent layers, and the empirical diagnostics by which its operation can be detected and measured. Taken together, the seventeen layers constitute a complete theoretical architecture; taken individually, each layer is a locus for targeted formal analysis and experimental investigation.</w:t>
      </w:r>
    </w:p>
    <w:p>
      <w:pPr>
        <w:pStyle w:val="Heading2"/>
        <w:spacing w:before="360" w:after="160"/>
      </w:pPr>
      <w:r>
        <w:rPr>
          <w:rFonts w:ascii="Times New Roman" w:cs="Times New Roman" w:eastAsia="Times New Roman" w:hAnsi="Times New Roman"/>
          <w:b/>
          <w:bCs/>
          <w:color w:val="000000"/>
          <w:sz w:val="22"/>
          <w:szCs w:val="22"/>
        </w:rPr>
        <w:t xml:space="preserve">3.1 Layer 1: Foundational Observables and the Irreducible Granule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 is defined as the set of foundational observables </w:t>
      </w:r>
      <w:r>
        <w:rPr>
          <w:rFonts w:ascii="Cambria Math" w:cs="Cambria Math" w:eastAsia="Cambria Math" w:hAnsi="Cambria Math"/>
          <w:i/>
          <w:iCs/>
          <w:sz w:val="20"/>
          <w:szCs w:val="20"/>
        </w:rPr>
        <w:t xml:space="preserve">O = {o_i | i ∈ ℕ}</w:t>
      </w:r>
      <w:r>
        <w:rPr>
          <w:rFonts w:ascii="Times New Roman" w:cs="Times New Roman" w:eastAsia="Times New Roman" w:hAnsi="Times New Roman"/>
          <w:b w:val="false"/>
          <w:bCs w:val="false"/>
          <w:color w:val="000000"/>
          <w:sz w:val="20"/>
          <w:szCs w:val="20"/>
        </w:rPr>
        <w:t xml:space="preserve">, where each </w:t>
      </w:r>
      <w:r>
        <w:rPr>
          <w:rFonts w:ascii="Cambria Math" w:cs="Cambria Math" w:eastAsia="Cambria Math" w:hAnsi="Cambria Math"/>
          <w:i/>
          <w:iCs/>
          <w:sz w:val="20"/>
          <w:szCs w:val="20"/>
        </w:rPr>
        <w:t xml:space="preserve">o_i</w:t>
      </w:r>
      <w:r>
        <w:rPr>
          <w:rFonts w:ascii="Times New Roman" w:cs="Times New Roman" w:eastAsia="Times New Roman" w:hAnsi="Times New Roman"/>
          <w:b w:val="false"/>
          <w:bCs w:val="false"/>
          <w:color w:val="000000"/>
          <w:sz w:val="20"/>
          <w:szCs w:val="20"/>
        </w:rPr>
        <w:t xml:space="preserve"> is an irreducible representational unit: an element that cannot be further decomposed within the formal system without losing its identity or generative capacity. This definition is formal rather than metaphysical. In Boolean algebra, an atom is an element </w:t>
      </w:r>
      <w:r>
        <w:rPr>
          <w:rFonts w:ascii="Cambria Math" w:cs="Cambria Math" w:eastAsia="Cambria Math" w:hAnsi="Cambria Math"/>
          <w:i/>
          <w:iCs/>
          <w:sz w:val="20"/>
          <w:szCs w:val="20"/>
        </w:rPr>
        <w:t xml:space="preserve">a</w:t>
      </w:r>
      <w:r>
        <w:rPr>
          <w:rFonts w:ascii="Times New Roman" w:cs="Times New Roman" w:eastAsia="Times New Roman" w:hAnsi="Times New Roman"/>
          <w:b w:val="false"/>
          <w:bCs w:val="false"/>
          <w:color w:val="000000"/>
          <w:sz w:val="20"/>
          <w:szCs w:val="20"/>
        </w:rPr>
        <w:t xml:space="preserve"> such that </w:t>
      </w:r>
      <w:r>
        <w:rPr>
          <w:rFonts w:ascii="Cambria Math" w:cs="Cambria Math" w:eastAsia="Cambria Math" w:hAnsi="Cambria Math"/>
          <w:i/>
          <w:iCs/>
          <w:sz w:val="20"/>
          <w:szCs w:val="20"/>
        </w:rPr>
        <w:t xml:space="preserve">0 &lt; a</w:t>
      </w:r>
      <w:r>
        <w:rPr>
          <w:rFonts w:ascii="Times New Roman" w:cs="Times New Roman" w:eastAsia="Times New Roman" w:hAnsi="Times New Roman"/>
          <w:b w:val="false"/>
          <w:bCs w:val="false"/>
          <w:color w:val="000000"/>
          <w:sz w:val="20"/>
          <w:szCs w:val="20"/>
        </w:rPr>
        <w:t xml:space="preserve"> and no </w:t>
      </w:r>
      <w:r>
        <w:rPr>
          <w:rFonts w:ascii="Cambria Math" w:cs="Cambria Math" w:eastAsia="Cambria Math" w:hAnsi="Cambria Math"/>
          <w:i/>
          <w:iCs/>
          <w:sz w:val="20"/>
          <w:szCs w:val="20"/>
        </w:rPr>
        <w:t xml:space="preserve">b</w:t>
      </w:r>
      <w:r>
        <w:rPr>
          <w:rFonts w:ascii="Times New Roman" w:cs="Times New Roman" w:eastAsia="Times New Roman" w:hAnsi="Times New Roman"/>
          <w:b w:val="false"/>
          <w:bCs w:val="false"/>
          <w:color w:val="000000"/>
          <w:sz w:val="20"/>
          <w:szCs w:val="20"/>
        </w:rPr>
        <w:t xml:space="preserve"> exists with </w:t>
      </w:r>
      <w:r>
        <w:rPr>
          <w:rFonts w:ascii="Cambria Math" w:cs="Cambria Math" w:eastAsia="Cambria Math" w:hAnsi="Cambria Math"/>
          <w:i/>
          <w:iCs/>
          <w:sz w:val="20"/>
          <w:szCs w:val="20"/>
        </w:rPr>
        <w:t xml:space="preserve">0 &lt; b &lt; a</w:t>
      </w:r>
      <w:r>
        <w:rPr>
          <w:rFonts w:ascii="Times New Roman" w:cs="Times New Roman" w:eastAsia="Times New Roman" w:hAnsi="Times New Roman"/>
          <w:b w:val="false"/>
          <w:bCs w:val="false"/>
          <w:color w:val="000000"/>
          <w:sz w:val="20"/>
          <w:szCs w:val="20"/>
        </w:rPr>
        <w:t xml:space="preserve">; measure-theoretically, an atomic set </w:t>
      </w:r>
      <w:r>
        <w:rPr>
          <w:rFonts w:ascii="Cambria Math" w:cs="Cambria Math" w:eastAsia="Cambria Math" w:hAnsi="Cambria Math"/>
          <w:i/>
          <w:iCs/>
          <w:sz w:val="20"/>
          <w:szCs w:val="20"/>
        </w:rPr>
        <w:t xml:space="preserve">A</w:t>
      </w:r>
      <w:r>
        <w:rPr>
          <w:rFonts w:ascii="Times New Roman" w:cs="Times New Roman" w:eastAsia="Times New Roman" w:hAnsi="Times New Roman"/>
          <w:b w:val="false"/>
          <w:bCs w:val="false"/>
          <w:color w:val="000000"/>
          <w:sz w:val="20"/>
          <w:szCs w:val="20"/>
        </w:rPr>
        <w:t xml:space="preserve"> satisfies </w:t>
      </w:r>
      <w:r>
        <w:rPr>
          <w:rFonts w:ascii="Cambria Math" w:cs="Cambria Math" w:eastAsia="Cambria Math" w:hAnsi="Cambria Math"/>
          <w:i/>
          <w:iCs/>
          <w:sz w:val="20"/>
          <w:szCs w:val="20"/>
        </w:rPr>
        <w:t xml:space="preserve">μ(B) = 0</w:t>
      </w:r>
      <w:r>
        <w:rPr>
          <w:rFonts w:ascii="Times New Roman" w:cs="Times New Roman" w:eastAsia="Times New Roman" w:hAnsi="Times New Roman"/>
          <w:b w:val="false"/>
          <w:bCs w:val="false"/>
          <w:color w:val="000000"/>
          <w:sz w:val="20"/>
          <w:szCs w:val="20"/>
        </w:rPr>
        <w:t xml:space="preserve"> or </w:t>
      </w:r>
      <w:r>
        <w:rPr>
          <w:rFonts w:ascii="Cambria Math" w:cs="Cambria Math" w:eastAsia="Cambria Math" w:hAnsi="Cambria Math"/>
          <w:i/>
          <w:iCs/>
          <w:sz w:val="20"/>
          <w:szCs w:val="20"/>
        </w:rPr>
        <w:t xml:space="preserve">μ(B) = μ(A)</w:t>
      </w:r>
      <w:r>
        <w:rPr>
          <w:rFonts w:ascii="Times New Roman" w:cs="Times New Roman" w:eastAsia="Times New Roman" w:hAnsi="Times New Roman"/>
          <w:b w:val="false"/>
          <w:bCs w:val="false"/>
          <w:color w:val="000000"/>
          <w:sz w:val="20"/>
          <w:szCs w:val="20"/>
        </w:rPr>
        <w:t xml:space="preserve"> for every measurable </w:t>
      </w:r>
      <w:r>
        <w:rPr>
          <w:rFonts w:ascii="Cambria Math" w:cs="Cambria Math" w:eastAsia="Cambria Math" w:hAnsi="Cambria Math"/>
          <w:i/>
          <w:iCs/>
          <w:sz w:val="20"/>
          <w:szCs w:val="20"/>
        </w:rPr>
        <w:t xml:space="preserve">B ⊆ A</w:t>
      </w:r>
      <w:r>
        <w:rPr>
          <w:rFonts w:ascii="Times New Roman" w:cs="Times New Roman" w:eastAsia="Times New Roman" w:hAnsi="Times New Roman"/>
          <w:b w:val="false"/>
          <w:bCs w:val="false"/>
          <w:color w:val="000000"/>
          <w:sz w:val="20"/>
          <w:szCs w:val="20"/>
        </w:rPr>
        <w:t xml:space="preserve">; category-theoretically, a zero object is simultaneously initial and terminal, admitting unique morphisms from and to every object in the category (Mac Lane, 1971). The convergence of these formalisms across Boolean logic, measure theory, and category theory constitutes a multi-axial justification for the concept of irreducibility that is not dependent on any single mathematical tradition.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Observables in Layer 1 are not assumed to carry anthropocentric significance. Following Barad's (2007) intra-actional ontology, each </w:t>
      </w:r>
      <w:r>
        <w:rPr>
          <w:rFonts w:ascii="Cambria Math" w:cs="Cambria Math" w:eastAsia="Cambria Math" w:hAnsi="Cambria Math"/>
          <w:i/>
          <w:iCs/>
          <w:sz w:val="20"/>
          <w:szCs w:val="20"/>
        </w:rPr>
        <w:t xml:space="preserve">o_i</w:t>
      </w:r>
      <w:r>
        <w:rPr>
          <w:rFonts w:ascii="Times New Roman" w:cs="Times New Roman" w:eastAsia="Times New Roman" w:hAnsi="Times New Roman"/>
          <w:b w:val="false"/>
          <w:bCs w:val="false"/>
          <w:color w:val="000000"/>
          <w:sz w:val="20"/>
          <w:szCs w:val="20"/>
        </w:rPr>
        <w:t xml:space="preserve"> is context-dependent: its identity is constituted by its relational position within the measurement apparatus rather than by intrinsic properties. This aligns with the information-theoretic perspective: in Kolmogorov complexity (Li &amp; Vitányi, 2008), an irreducible string is one whose shortest description is the string itself; any alleged sub-unit would either reproduce the description or collapse into null content. The formal criterion for Layer 1 membership is therefore the convergence of (a) order-theoretic atomicity, (b) measure-theoretic indivisibility, (c) categorical zero-object structure, and (d) Kolmogorov incompressibility: an entity that satisfies all four criteria is a strong candidate for </w:t>
      </w:r>
      <w:r>
        <w:rPr>
          <w:rFonts w:ascii="Cambria Math" w:cs="Cambria Math" w:eastAsia="Cambria Math" w:hAnsi="Cambria Math"/>
          <w:i/>
          <w:iCs/>
          <w:sz w:val="20"/>
          <w:szCs w:val="20"/>
        </w:rPr>
        <w:t xml:space="preserve">o_i ∈ O</w:t>
      </w:r>
      <w:r>
        <w:rPr>
          <w:rFonts w:ascii="Times New Roman" w:cs="Times New Roman" w:eastAsia="Times New Roman" w:hAnsi="Times New Roman"/>
          <w:b w:val="false"/>
          <w:bCs w:val="false"/>
          <w:color w:val="000000"/>
          <w:sz w:val="20"/>
          <w:szCs w:val="20"/>
        </w:rPr>
        <w:t xml:space="preserv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inter-observable structure is encoded by an adjacency function </w:t>
      </w:r>
      <w:r>
        <w:rPr>
          <w:rFonts w:ascii="Cambria Math" w:cs="Cambria Math" w:eastAsia="Cambria Math" w:hAnsi="Cambria Math"/>
          <w:i/>
          <w:iCs/>
          <w:sz w:val="20"/>
          <w:szCs w:val="20"/>
        </w:rPr>
        <w:t xml:space="preserve">A: O × O → [0,1]</w:t>
      </w:r>
      <w:r>
        <w:rPr>
          <w:rFonts w:ascii="Times New Roman" w:cs="Times New Roman" w:eastAsia="Times New Roman" w:hAnsi="Times New Roman"/>
          <w:b w:val="false"/>
          <w:bCs w:val="false"/>
          <w:color w:val="000000"/>
          <w:sz w:val="20"/>
          <w:szCs w:val="20"/>
        </w:rPr>
        <w:t xml:space="preserve"> that assigns a probabilistic relational strength </w:t>
      </w:r>
      <w:r>
        <w:rPr>
          <w:rFonts w:ascii="Cambria Math" w:cs="Cambria Math" w:eastAsia="Cambria Math" w:hAnsi="Cambria Math"/>
          <w:i/>
          <w:iCs/>
          <w:sz w:val="20"/>
          <w:szCs w:val="20"/>
        </w:rPr>
        <w:t xml:space="preserve">A(o_i, o_j)</w:t>
      </w:r>
      <w:r>
        <w:rPr>
          <w:rFonts w:ascii="Times New Roman" w:cs="Times New Roman" w:eastAsia="Times New Roman" w:hAnsi="Times New Roman"/>
          <w:b w:val="false"/>
          <w:bCs w:val="false"/>
          <w:color w:val="000000"/>
          <w:sz w:val="20"/>
          <w:szCs w:val="20"/>
        </w:rPr>
        <w:t xml:space="preserve"> to each pair of observables without imposing causal hierarchy. Stochastic sampling of this function generates candidate relational patterns for Layer 2. The risk at this foundational level is that hardware constraints, sensor limitations, and initial formalization choices can inadvertently introduce anthropocentric bias into the definition of </w:t>
      </w:r>
      <w:r>
        <w:rPr>
          <w:rFonts w:ascii="Cambria Math" w:cs="Cambria Math" w:eastAsia="Cambria Math" w:hAnsi="Cambria Math"/>
          <w:i/>
          <w:iCs/>
          <w:sz w:val="20"/>
          <w:szCs w:val="20"/>
        </w:rPr>
        <w:t xml:space="preserve">o_i</w:t>
      </w:r>
      <w:r>
        <w:rPr>
          <w:rFonts w:ascii="Times New Roman" w:cs="Times New Roman" w:eastAsia="Times New Roman" w:hAnsi="Times New Roman"/>
          <w:b w:val="false"/>
          <w:bCs w:val="false"/>
          <w:color w:val="000000"/>
          <w:sz w:val="20"/>
          <w:szCs w:val="20"/>
        </w:rPr>
        <w:t xml:space="preserve">. The mitigation strategy is redundant instantiation: multiple independent observational channels reduce the probability that any single bias dominates the emergent structure at Layer 2.</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In computational practice, Layer 1 corresponds to the token vocabulary in language models (Mikolov et al., 2013; Devlin et al., 2018), the pixel or voxel in perceptual systems, the atomic proposition in formal reasoning systems, or the elementary excitation in quantum field-theoretic models. What unifies these apparently disparate instantiations is the structural property of irreducibility: each is a minimal carrier of identity that cannot be decomposed without collapsing the representational system in which it operates. Recent results in representation learning (Locatello et al., 2019) demonstrate, however, that the identification of such minimal factors from data alone is underdetermined without inductive bias, reinforcing our claim that Layer 1 requires explicit formal specification rather than emergent discovery.</w:t>
      </w:r>
    </w:p>
    <w:p>
      <w:pPr>
        <w:pStyle w:val="Heading2"/>
        <w:spacing w:before="360" w:after="160"/>
      </w:pPr>
      <w:r>
        <w:rPr>
          <w:rFonts w:ascii="Times New Roman" w:cs="Times New Roman" w:eastAsia="Times New Roman" w:hAnsi="Times New Roman"/>
          <w:b/>
          <w:bCs/>
          <w:color w:val="000000"/>
          <w:sz w:val="22"/>
          <w:szCs w:val="22"/>
        </w:rPr>
        <w:t xml:space="preserve">3.2 Layer 2: Relational Emergence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2 formalizes the initial relational structure among the observables of Layer 1. Define the relation set </w:t>
      </w:r>
      <w:r>
        <w:rPr>
          <w:rFonts w:ascii="Cambria Math" w:cs="Cambria Math" w:eastAsia="Cambria Math" w:hAnsi="Cambria Math"/>
          <w:i/>
          <w:iCs/>
          <w:sz w:val="20"/>
          <w:szCs w:val="20"/>
        </w:rPr>
        <w:t xml:space="preserve">R = {r_{ij} | o_i, o_j ∈ O, r_{ij} ∈ [0,1]}</w:t>
      </w:r>
      <w:r>
        <w:rPr>
          <w:rFonts w:ascii="Times New Roman" w:cs="Times New Roman" w:eastAsia="Times New Roman" w:hAnsi="Times New Roman"/>
          <w:b w:val="false"/>
          <w:bCs w:val="false"/>
          <w:color w:val="000000"/>
          <w:sz w:val="20"/>
          <w:szCs w:val="20"/>
        </w:rPr>
        <w:t xml:space="preserve">, where each </w:t>
      </w:r>
      <w:r>
        <w:rPr>
          <w:rFonts w:ascii="Cambria Math" w:cs="Cambria Math" w:eastAsia="Cambria Math" w:hAnsi="Cambria Math"/>
          <w:i/>
          <w:iCs/>
          <w:sz w:val="20"/>
          <w:szCs w:val="20"/>
        </w:rPr>
        <w:t xml:space="preserve">r_{ij}</w:t>
      </w:r>
      <w:r>
        <w:rPr>
          <w:rFonts w:ascii="Times New Roman" w:cs="Times New Roman" w:eastAsia="Times New Roman" w:hAnsi="Times New Roman"/>
          <w:b w:val="false"/>
          <w:bCs w:val="false"/>
          <w:color w:val="000000"/>
          <w:sz w:val="20"/>
          <w:szCs w:val="20"/>
        </w:rPr>
        <w:t xml:space="preserve"> represents the probabilistic relational strength between two observables. Relations are context-sensitive and emergent: they are not predefined by the architecture but discovered through stochastic exploration of the adjacency space generated at Layer 1. This design choice directly implements Barabási's (2002) insight that complex relational structures, including scale-free topologies and rich-club organization, arise from simple local attachment rules applied to basic relational substrates.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relational structure of Layer 2 is organized into three sublayers of increasing order. Direct correlations </w:t>
      </w:r>
      <w:r>
        <w:rPr>
          <w:rFonts w:ascii="Cambria Math" w:cs="Cambria Math" w:eastAsia="Cambria Math" w:hAnsi="Cambria Math"/>
          <w:i/>
          <w:iCs/>
          <w:sz w:val="20"/>
          <w:szCs w:val="20"/>
        </w:rPr>
        <w:t xml:space="preserve">r^{(1)}_{ij}</w:t>
      </w:r>
      <w:r>
        <w:rPr>
          <w:rFonts w:ascii="Times New Roman" w:cs="Times New Roman" w:eastAsia="Times New Roman" w:hAnsi="Times New Roman"/>
          <w:b w:val="false"/>
          <w:bCs w:val="false"/>
          <w:color w:val="000000"/>
          <w:sz w:val="20"/>
          <w:szCs w:val="20"/>
        </w:rPr>
        <w:t xml:space="preserve"> capture synchronous co-occurrences between pairs of observables without implying directionality. Functional dependencies </w:t>
      </w:r>
      <w:r>
        <w:rPr>
          <w:rFonts w:ascii="Cambria Math" w:cs="Cambria Math" w:eastAsia="Cambria Math" w:hAnsi="Cambria Math"/>
          <w:i/>
          <w:iCs/>
          <w:sz w:val="20"/>
          <w:szCs w:val="20"/>
        </w:rPr>
        <w:t xml:space="preserve">r^{(2)}_{ij}</w:t>
      </w:r>
      <w:r>
        <w:rPr>
          <w:rFonts w:ascii="Times New Roman" w:cs="Times New Roman" w:eastAsia="Times New Roman" w:hAnsi="Times New Roman"/>
          <w:b w:val="false"/>
          <w:bCs w:val="false"/>
          <w:color w:val="000000"/>
          <w:sz w:val="20"/>
          <w:szCs w:val="20"/>
        </w:rPr>
        <w:t xml:space="preserve"> represent asymmetric probabilistic influence, formalized as conditional probabilities </w:t>
      </w:r>
      <w:r>
        <w:rPr>
          <w:rFonts w:ascii="Cambria Math" w:cs="Cambria Math" w:eastAsia="Cambria Math" w:hAnsi="Cambria Math"/>
          <w:i/>
          <w:iCs/>
          <w:sz w:val="20"/>
          <w:szCs w:val="20"/>
        </w:rPr>
        <w:t xml:space="preserve">P(o_j | o_i)</w:t>
      </w:r>
      <w:r>
        <w:rPr>
          <w:rFonts w:ascii="Times New Roman" w:cs="Times New Roman" w:eastAsia="Times New Roman" w:hAnsi="Times New Roman"/>
          <w:b w:val="false"/>
          <w:bCs w:val="false"/>
          <w:color w:val="000000"/>
          <w:sz w:val="20"/>
          <w:szCs w:val="20"/>
        </w:rPr>
        <w:t xml:space="preserve"> exceeding a threshold </w:t>
      </w:r>
      <w:r>
        <w:rPr>
          <w:rFonts w:ascii="Cambria Math" w:cs="Cambria Math" w:eastAsia="Cambria Math" w:hAnsi="Cambria Math"/>
          <w:i/>
          <w:iCs/>
          <w:sz w:val="20"/>
          <w:szCs w:val="20"/>
        </w:rPr>
        <w:t xml:space="preserve">τ</w:t>
      </w:r>
      <w:r>
        <w:rPr>
          <w:rFonts w:ascii="Times New Roman" w:cs="Times New Roman" w:eastAsia="Times New Roman" w:hAnsi="Times New Roman"/>
          <w:b w:val="false"/>
          <w:bCs w:val="false"/>
          <w:color w:val="000000"/>
          <w:sz w:val="20"/>
          <w:szCs w:val="20"/>
        </w:rPr>
        <w:t xml:space="preserve">. Higher-order motifs </w:t>
      </w:r>
      <w:r>
        <w:rPr>
          <w:rFonts w:ascii="Cambria Math" w:cs="Cambria Math" w:eastAsia="Cambria Math" w:hAnsi="Cambria Math"/>
          <w:i/>
          <w:iCs/>
          <w:sz w:val="20"/>
          <w:szCs w:val="20"/>
        </w:rPr>
        <w:t xml:space="preserve">r^{(3)}_{ijk}</w:t>
      </w:r>
      <w:r>
        <w:rPr>
          <w:rFonts w:ascii="Times New Roman" w:cs="Times New Roman" w:eastAsia="Times New Roman" w:hAnsi="Times New Roman"/>
          <w:b w:val="false"/>
          <w:bCs w:val="false"/>
          <w:color w:val="000000"/>
          <w:sz w:val="20"/>
          <w:szCs w:val="20"/>
        </w:rPr>
        <w:t xml:space="preserve"> are recurring relational patterns among triplets or larger sets of observables, detected through tensor decomposition of the multi-way adjacency array </w:t>
      </w:r>
      <w:r>
        <w:rPr>
          <w:rFonts w:ascii="Cambria Math" w:cs="Cambria Math" w:eastAsia="Cambria Math" w:hAnsi="Cambria Math"/>
          <w:i/>
          <w:iCs/>
          <w:sz w:val="20"/>
          <w:szCs w:val="20"/>
        </w:rPr>
        <w:t xml:space="preserve">T^{(k)}</w:t>
      </w:r>
      <w:r>
        <w:rPr>
          <w:rFonts w:ascii="Times New Roman" w:cs="Times New Roman" w:eastAsia="Times New Roman" w:hAnsi="Times New Roman"/>
          <w:b w:val="false"/>
          <w:bCs w:val="false"/>
          <w:color w:val="000000"/>
          <w:sz w:val="20"/>
          <w:szCs w:val="20"/>
        </w:rPr>
        <w:t xml:space="preserve">. Aerts' (2009) quantum-inspired probabilistic framework provides theoretical grounding for the possibility that </w:t>
      </w:r>
      <w:r>
        <w:rPr>
          <w:rFonts w:ascii="Cambria Math" w:cs="Cambria Math" w:eastAsia="Cambria Math" w:hAnsi="Cambria Math"/>
          <w:i/>
          <w:iCs/>
          <w:sz w:val="20"/>
          <w:szCs w:val="20"/>
        </w:rPr>
        <w:t xml:space="preserve">r_{ij}</w:t>
      </w:r>
      <w:r>
        <w:rPr>
          <w:rFonts w:ascii="Times New Roman" w:cs="Times New Roman" w:eastAsia="Times New Roman" w:hAnsi="Times New Roman"/>
          <w:b w:val="false"/>
          <w:bCs w:val="false"/>
          <w:color w:val="000000"/>
          <w:sz w:val="20"/>
          <w:szCs w:val="20"/>
        </w:rPr>
        <w:t xml:space="preserve"> can take complex values when observables are superposed, enabling Layer 2 to model ambiguous or overlapping associations that would collapse under classical bivalent logic.</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primary computational risk at Layer 2 is the proliferation of spurious correlations as the number of observables grows: for </w:t>
      </w:r>
      <w:r>
        <w:rPr>
          <w:rFonts w:ascii="Cambria Math" w:cs="Cambria Math" w:eastAsia="Cambria Math" w:hAnsi="Cambria Math"/>
          <w:i/>
          <w:iCs/>
          <w:sz w:val="20"/>
          <w:szCs w:val="20"/>
        </w:rPr>
        <w:t xml:space="preserve">|O| = n</w:t>
      </w:r>
      <w:r>
        <w:rPr>
          <w:rFonts w:ascii="Times New Roman" w:cs="Times New Roman" w:eastAsia="Times New Roman" w:hAnsi="Times New Roman"/>
          <w:b w:val="false"/>
          <w:bCs w:val="false"/>
          <w:color w:val="000000"/>
          <w:sz w:val="20"/>
          <w:szCs w:val="20"/>
        </w:rPr>
        <w:t xml:space="preserve"> observables, the number of possible pairwise relations is </w:t>
      </w:r>
      <w:r>
        <w:rPr>
          <w:rFonts w:ascii="Cambria Math" w:cs="Cambria Math" w:eastAsia="Cambria Math" w:hAnsi="Cambria Math"/>
          <w:i/>
          <w:iCs/>
          <w:sz w:val="20"/>
          <w:szCs w:val="20"/>
        </w:rPr>
        <w:t xml:space="preserve">O(n²)</w:t>
      </w:r>
      <w:r>
        <w:rPr>
          <w:rFonts w:ascii="Times New Roman" w:cs="Times New Roman" w:eastAsia="Times New Roman" w:hAnsi="Times New Roman"/>
          <w:b w:val="false"/>
          <w:bCs w:val="false"/>
          <w:color w:val="000000"/>
          <w:sz w:val="20"/>
          <w:szCs w:val="20"/>
        </w:rPr>
        <w:t xml:space="preserve">, and tensor-order-3 motifs scale as </w:t>
      </w:r>
      <w:r>
        <w:rPr>
          <w:rFonts w:ascii="Cambria Math" w:cs="Cambria Math" w:eastAsia="Cambria Math" w:hAnsi="Cambria Math"/>
          <w:i/>
          <w:iCs/>
          <w:sz w:val="20"/>
          <w:szCs w:val="20"/>
        </w:rPr>
        <w:t xml:space="preserve">O(n³)</w:t>
      </w:r>
      <w:r>
        <w:rPr>
          <w:rFonts w:ascii="Times New Roman" w:cs="Times New Roman" w:eastAsia="Times New Roman" w:hAnsi="Times New Roman"/>
          <w:b w:val="false"/>
          <w:bCs w:val="false"/>
          <w:color w:val="000000"/>
          <w:sz w:val="20"/>
          <w:szCs w:val="20"/>
        </w:rPr>
        <w:t xml:space="preserve">. Effective pruning strategies, including significance testing against null models, permutation-based correction for multiple comparisons, and regularization of the tensor decomposition, are necessary to prevent the upper layers from inheriting noise masquerading as structure. Empirically, Layer 2 corresponds to the emergence of motif structure in neural circuits (Sporns &amp; Kötter, 2004), to the first level of correlation structure in ecological networks (Camazine et al., 2001), and to the low-level syntactic dependencies that emerge in the first attention heads of transformer models (Clark et al., 2019).</w:t>
      </w:r>
    </w:p>
    <w:p>
      <w:pPr>
        <w:pStyle w:val="Heading2"/>
        <w:spacing w:before="360" w:after="160"/>
      </w:pPr>
      <w:r>
        <w:rPr>
          <w:rFonts w:ascii="Times New Roman" w:cs="Times New Roman" w:eastAsia="Times New Roman" w:hAnsi="Times New Roman"/>
          <w:b/>
          <w:bCs/>
          <w:color w:val="000000"/>
          <w:sz w:val="22"/>
          <w:szCs w:val="22"/>
        </w:rPr>
        <w:t xml:space="preserve">3.3 Layer 3: Functional Emergence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3 identifies cohesive </w:t>
      </w:r>
      <w:r>
        <w:rPr>
          <w:rFonts w:ascii="Times New Roman" w:cs="Times New Roman" w:eastAsia="Times New Roman" w:hAnsi="Times New Roman"/>
          <w:b w:val="false"/>
          <w:bCs w:val="false"/>
          <w:color w:val="000000"/>
          <w:sz w:val="20"/>
          <w:szCs w:val="20"/>
        </w:rPr>
        <w:t xml:space="preserve">functional entities</w:t>
      </w:r>
      <w:r>
        <w:rPr>
          <w:rFonts w:ascii="Times New Roman" w:cs="Times New Roman" w:eastAsia="Times New Roman" w:hAnsi="Times New Roman"/>
          <w:b w:val="false"/>
          <w:bCs w:val="false"/>
          <w:color w:val="000000"/>
          <w:sz w:val="20"/>
          <w:szCs w:val="20"/>
        </w:rPr>
        <w:t xml:space="preserve"> within the relational structure of Layer 2. Formally, </w:t>
      </w:r>
      <w:r>
        <w:rPr>
          <w:rFonts w:ascii="Cambria Math" w:cs="Cambria Math" w:eastAsia="Cambria Math" w:hAnsi="Cambria Math"/>
          <w:i/>
          <w:iCs/>
          <w:sz w:val="20"/>
          <w:szCs w:val="20"/>
        </w:rPr>
        <w:t xml:space="preserve">F = {f_k | f_k ⊆ R}</w:t>
      </w:r>
      <w:r>
        <w:rPr>
          <w:rFonts w:ascii="Times New Roman" w:cs="Times New Roman" w:eastAsia="Times New Roman" w:hAnsi="Times New Roman"/>
          <w:b w:val="false"/>
          <w:bCs w:val="false"/>
          <w:color w:val="000000"/>
          <w:sz w:val="20"/>
          <w:szCs w:val="20"/>
        </w:rPr>
        <w:t xml:space="preserve">, where each </w:t>
      </w:r>
      <w:r>
        <w:rPr>
          <w:rFonts w:ascii="Cambria Math" w:cs="Cambria Math" w:eastAsia="Cambria Math" w:hAnsi="Cambria Math"/>
          <w:i/>
          <w:iCs/>
          <w:sz w:val="20"/>
          <w:szCs w:val="20"/>
        </w:rPr>
        <w:t xml:space="preserve">f_k</w:t>
      </w:r>
      <w:r>
        <w:rPr>
          <w:rFonts w:ascii="Times New Roman" w:cs="Times New Roman" w:eastAsia="Times New Roman" w:hAnsi="Times New Roman"/>
          <w:b w:val="false"/>
          <w:bCs w:val="false"/>
          <w:color w:val="000000"/>
          <w:sz w:val="20"/>
          <w:szCs w:val="20"/>
        </w:rPr>
        <w:t xml:space="preserve"> is a cluster of relations forming a stable, context-sensitive functional unit. The transition from Layer 2 to Layer 3 is the emergence of function from relation: groups of correlations that collectively perform a stable informational role, analogous to the emergence of protein function from amino-acid interactions or of syntactic constituent structure from lexical co-occurrence statistics.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Functional entities are represented as hyperedges in a hypergraph </w:t>
      </w:r>
      <w:r>
        <w:rPr>
          <w:rFonts w:ascii="Cambria Math" w:cs="Cambria Math" w:eastAsia="Cambria Math" w:hAnsi="Cambria Math"/>
          <w:i/>
          <w:iCs/>
          <w:sz w:val="20"/>
          <w:szCs w:val="20"/>
        </w:rPr>
        <w:t xml:space="preserve">H = (O, E)</w:t>
      </w:r>
      <w:r>
        <w:rPr>
          <w:rFonts w:ascii="Times New Roman" w:cs="Times New Roman" w:eastAsia="Times New Roman" w:hAnsi="Times New Roman"/>
          <w:b w:val="false"/>
          <w:bCs w:val="false"/>
          <w:color w:val="000000"/>
          <w:sz w:val="20"/>
          <w:szCs w:val="20"/>
        </w:rPr>
        <w:t xml:space="preserve"> where each </w:t>
      </w:r>
      <w:r>
        <w:rPr>
          <w:rFonts w:ascii="Cambria Math" w:cs="Cambria Math" w:eastAsia="Cambria Math" w:hAnsi="Cambria Math"/>
          <w:i/>
          <w:iCs/>
          <w:sz w:val="20"/>
          <w:szCs w:val="20"/>
        </w:rPr>
        <w:t xml:space="preserve">e_k ∈ E</w:t>
      </w:r>
      <w:r>
        <w:rPr>
          <w:rFonts w:ascii="Times New Roman" w:cs="Times New Roman" w:eastAsia="Times New Roman" w:hAnsi="Times New Roman"/>
          <w:b w:val="false"/>
          <w:bCs w:val="false"/>
          <w:color w:val="000000"/>
          <w:sz w:val="20"/>
          <w:szCs w:val="20"/>
        </w:rPr>
        <w:t xml:space="preserve"> corresponds to </w:t>
      </w:r>
      <w:r>
        <w:rPr>
          <w:rFonts w:ascii="Cambria Math" w:cs="Cambria Math" w:eastAsia="Cambria Math" w:hAnsi="Cambria Math"/>
          <w:i/>
          <w:iCs/>
          <w:sz w:val="20"/>
          <w:szCs w:val="20"/>
        </w:rPr>
        <w:t xml:space="preserve">f_k</w:t>
      </w:r>
      <w:r>
        <w:rPr>
          <w:rFonts w:ascii="Times New Roman" w:cs="Times New Roman" w:eastAsia="Times New Roman" w:hAnsi="Times New Roman"/>
          <w:b w:val="false"/>
          <w:bCs w:val="false"/>
          <w:color w:val="000000"/>
          <w:sz w:val="20"/>
          <w:szCs w:val="20"/>
        </w:rPr>
        <w:t xml:space="preserve">. The hypergraph formalism is essential because functional entities are generally polyadic: a predator-prey-habitat triad, a semantic frame, or a social coalition are all functional units that cannot be decomposed into pairwise relations without losing their functional character. Simon's (1962) architecture of complexity provides the theoretical grounding: hierarchical functional organization arises naturally from lower-level interactions when the interactions within a functional unit are substantially stronger than the interactions between units. The Nexus Framework makes this principle operational by requiring that </w:t>
      </w:r>
      <w:r>
        <w:rPr>
          <w:rFonts w:ascii="Cambria Math" w:cs="Cambria Math" w:eastAsia="Cambria Math" w:hAnsi="Cambria Math"/>
          <w:i/>
          <w:iCs/>
          <w:sz w:val="20"/>
          <w:szCs w:val="20"/>
        </w:rPr>
        <w:t xml:space="preserve">f_k</w:t>
      </w:r>
      <w:r>
        <w:rPr>
          <w:rFonts w:ascii="Times New Roman" w:cs="Times New Roman" w:eastAsia="Times New Roman" w:hAnsi="Times New Roman"/>
          <w:b w:val="false"/>
          <w:bCs w:val="false"/>
          <w:color w:val="000000"/>
          <w:sz w:val="20"/>
          <w:szCs w:val="20"/>
        </w:rPr>
        <w:t xml:space="preserve"> exhibit statistically significant modularity, measured by the ratio of within-cluster to between-cluster relational density, relative to a null model of random relational assignment.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Three sublayers of functional organization are distinguished: micro-functions representing localized feedback loops, meso-functions aggregating micro-functions into semi-stable adaptive networks, and macro-functions integrating meso-functions into system-wide behavioral patterns. This three-level organization within a single layer reflects the empirical observation that functional hierarchies in complex systems exhibit nested modularity across multiple spatial and temporal scales (Ravasz et al., 2002). The risk at Layer 3 is functional fragility: if the relational substrate at Layer 2 is sparse or noisy, functional entities may be spurious or unstable. Validation requires testing whether designated functional units persist across perturbations of the underlying relational graph and whether their removal disrupts system-level behavior, as measured by information-theoretic diagnostics such as transfer entropy (Schreiber, 2000).</w:t>
      </w:r>
    </w:p>
    <w:p>
      <w:pPr>
        <w:pStyle w:val="Heading2"/>
        <w:spacing w:before="360" w:after="160"/>
      </w:pPr>
      <w:r>
        <w:rPr>
          <w:rFonts w:ascii="Times New Roman" w:cs="Times New Roman" w:eastAsia="Times New Roman" w:hAnsi="Times New Roman"/>
          <w:b/>
          <w:bCs/>
          <w:color w:val="000000"/>
          <w:sz w:val="22"/>
          <w:szCs w:val="22"/>
        </w:rPr>
        <w:t xml:space="preserve">3.4 Layer 4: Dynamic Adaptation and Feedback</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4 introduces temporal dynamics by associating each functional entity </w:t>
      </w:r>
      <w:r>
        <w:rPr>
          <w:rFonts w:ascii="Cambria Math" w:cs="Cambria Math" w:eastAsia="Cambria Math" w:hAnsi="Cambria Math"/>
          <w:i/>
          <w:iCs/>
          <w:sz w:val="20"/>
          <w:szCs w:val="20"/>
        </w:rPr>
        <w:t xml:space="preserve">f_k</w:t>
      </w:r>
      <w:r>
        <w:rPr>
          <w:rFonts w:ascii="Times New Roman" w:cs="Times New Roman" w:eastAsia="Times New Roman" w:hAnsi="Times New Roman"/>
          <w:b w:val="false"/>
          <w:bCs w:val="false"/>
          <w:color w:val="000000"/>
          <w:sz w:val="20"/>
          <w:szCs w:val="20"/>
        </w:rPr>
        <w:t xml:space="preserve"> with a state vector </w:t>
      </w:r>
      <w:r>
        <w:rPr>
          <w:rFonts w:ascii="Cambria Math" w:cs="Cambria Math" w:eastAsia="Cambria Math" w:hAnsi="Cambria Math"/>
          <w:i/>
          <w:iCs/>
          <w:sz w:val="20"/>
          <w:szCs w:val="20"/>
        </w:rPr>
        <w:t xml:space="preserve">S_k(t)</w:t>
      </w:r>
      <w:r>
        <w:rPr>
          <w:rFonts w:ascii="Times New Roman" w:cs="Times New Roman" w:eastAsia="Times New Roman" w:hAnsi="Times New Roman"/>
          <w:b w:val="false"/>
          <w:bCs w:val="false"/>
          <w:color w:val="000000"/>
          <w:sz w:val="20"/>
          <w:szCs w:val="20"/>
        </w:rPr>
        <w:t xml:space="preserve"> that evolves under a transition function </w:t>
      </w:r>
      <w:r>
        <w:rPr>
          <w:rFonts w:ascii="Cambria Math" w:cs="Cambria Math" w:eastAsia="Cambria Math" w:hAnsi="Cambria Math"/>
          <w:i/>
          <w:iCs/>
          <w:sz w:val="20"/>
          <w:szCs w:val="20"/>
        </w:rPr>
        <w:t xml:space="preserve">Φ_k: S_k(t) × E_k → S_k(t+1)</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E_k</w:t>
      </w:r>
      <w:r>
        <w:rPr>
          <w:rFonts w:ascii="Times New Roman" w:cs="Times New Roman" w:eastAsia="Times New Roman" w:hAnsi="Times New Roman"/>
          <w:b w:val="false"/>
          <w:bCs w:val="false"/>
          <w:color w:val="000000"/>
          <w:sz w:val="20"/>
          <w:szCs w:val="20"/>
        </w:rPr>
        <w:t xml:space="preserve"> denotes internal and external influencing factors. The time parameter </w:t>
      </w:r>
      <w:r>
        <w:rPr>
          <w:rFonts w:ascii="Cambria Math" w:cs="Cambria Math" w:eastAsia="Cambria Math" w:hAnsi="Cambria Math"/>
          <w:i/>
          <w:iCs/>
          <w:sz w:val="20"/>
          <w:szCs w:val="20"/>
        </w:rPr>
        <w:t xml:space="preserve">t</w:t>
      </w:r>
      <w:r>
        <w:rPr>
          <w:rFonts w:ascii="Times New Roman" w:cs="Times New Roman" w:eastAsia="Times New Roman" w:hAnsi="Times New Roman"/>
          <w:b w:val="false"/>
          <w:bCs w:val="false"/>
          <w:color w:val="000000"/>
          <w:sz w:val="20"/>
          <w:szCs w:val="20"/>
        </w:rPr>
        <w:t xml:space="preserve"> here is an abstract simulation index rather than physical clock time; it represents a notional ordering of state transitions that need not correspond to human temporal perception.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Feedback is formalized as cyclic dependencies among state vectors: </w:t>
      </w:r>
      <w:r>
        <w:rPr>
          <w:rFonts w:ascii="Cambria Math" w:cs="Cambria Math" w:eastAsia="Cambria Math" w:hAnsi="Cambria Math"/>
          <w:i/>
          <w:iCs/>
          <w:sz w:val="20"/>
          <w:szCs w:val="20"/>
        </w:rPr>
        <w:t xml:space="preserve">S_k(t+1)</w:t>
      </w:r>
      <w:r>
        <w:rPr>
          <w:rFonts w:ascii="Times New Roman" w:cs="Times New Roman" w:eastAsia="Times New Roman" w:hAnsi="Times New Roman"/>
          <w:b w:val="false"/>
          <w:bCs w:val="false"/>
          <w:color w:val="000000"/>
          <w:sz w:val="20"/>
          <w:szCs w:val="20"/>
        </w:rPr>
        <w:t xml:space="preserve"> may influence </w:t>
      </w:r>
      <w:r>
        <w:rPr>
          <w:rFonts w:ascii="Cambria Math" w:cs="Cambria Math" w:eastAsia="Cambria Math" w:hAnsi="Cambria Math"/>
          <w:i/>
          <w:iCs/>
          <w:sz w:val="20"/>
          <w:szCs w:val="20"/>
        </w:rPr>
        <w:t xml:space="preserve">S_j(t+1)</w:t>
      </w:r>
      <w:r>
        <w:rPr>
          <w:rFonts w:ascii="Times New Roman" w:cs="Times New Roman" w:eastAsia="Times New Roman" w:hAnsi="Times New Roman"/>
          <w:b w:val="false"/>
          <w:bCs w:val="false"/>
          <w:color w:val="000000"/>
          <w:sz w:val="20"/>
          <w:szCs w:val="20"/>
        </w:rPr>
        <w:t xml:space="preserve"> for connected functional entities </w:t>
      </w:r>
      <w:r>
        <w:rPr>
          <w:rFonts w:ascii="Cambria Math" w:cs="Cambria Math" w:eastAsia="Cambria Math" w:hAnsi="Cambria Math"/>
          <w:i/>
          <w:iCs/>
          <w:sz w:val="20"/>
          <w:szCs w:val="20"/>
        </w:rPr>
        <w:t xml:space="preserve">f_j</w:t>
      </w:r>
      <w:r>
        <w:rPr>
          <w:rFonts w:ascii="Times New Roman" w:cs="Times New Roman" w:eastAsia="Times New Roman" w:hAnsi="Times New Roman"/>
          <w:b w:val="false"/>
          <w:bCs w:val="false"/>
          <w:color w:val="000000"/>
          <w:sz w:val="20"/>
          <w:szCs w:val="20"/>
        </w:rPr>
        <w:t xml:space="preserve">, creating closed loops of mutual influence. Wiener's (1948) cybernetics provides the conceptual vocabulary: negative feedback enables self-stabilization, while positive feedback generates amplification and potential instability. Holland's (1995) complex adaptive systems framework extends this by showing that feedback dynamics over heterogeneous agent populations generate non-linear, emergent global behaviors that cannot be predicted from the feedback rules of individual agents. At Layer 4, the system begins to exhibit the hallmarks of complex adaptive behavior: sensitivity to initial conditions, non-linear response to perturbation, and the potential for phase transitions between qualitatively different dynamic regimes.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formal analysis of Layer 4 dynamics relies on the computation of Lyapunov exponents to assess the sensitivity of trajectories to initial conditions, bifurcation analysis to map the phase space as parameters vary, and early-warning signal detection (Scheffer et al., 2009) to identify approaching critical transitions before they occur. These diagnostics are not merely retrospective but prospective: a well-instrumented Layer 4 system can provide advance warning of its own approaching instabilities, enabling interventions that maintain the system within a desired dynamical regime.</w:t>
      </w:r>
    </w:p>
    <w:p>
      <w:pPr>
        <w:pStyle w:val="Heading2"/>
        <w:spacing w:before="360" w:after="160"/>
      </w:pPr>
      <w:r>
        <w:rPr>
          <w:rFonts w:ascii="Times New Roman" w:cs="Times New Roman" w:eastAsia="Times New Roman" w:hAnsi="Times New Roman"/>
          <w:b/>
          <w:bCs/>
          <w:color w:val="000000"/>
          <w:sz w:val="22"/>
          <w:szCs w:val="22"/>
        </w:rPr>
        <w:t xml:space="preserve">3.5 Layer 5: Autonomous Optimization and Learning</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5 is the first layer of self-directed evolution. Each functional entity </w:t>
      </w:r>
      <w:r>
        <w:rPr>
          <w:rFonts w:ascii="Cambria Math" w:cs="Cambria Math" w:eastAsia="Cambria Math" w:hAnsi="Cambria Math"/>
          <w:i/>
          <w:iCs/>
          <w:sz w:val="20"/>
          <w:szCs w:val="20"/>
        </w:rPr>
        <w:t xml:space="preserve">f_k</w:t>
      </w:r>
      <w:r>
        <w:rPr>
          <w:rFonts w:ascii="Times New Roman" w:cs="Times New Roman" w:eastAsia="Times New Roman" w:hAnsi="Times New Roman"/>
          <w:b w:val="false"/>
          <w:bCs w:val="false"/>
          <w:color w:val="000000"/>
          <w:sz w:val="20"/>
          <w:szCs w:val="20"/>
        </w:rPr>
        <w:t xml:space="preserve"> is equipped with a performance function </w:t>
      </w:r>
      <w:r>
        <w:rPr>
          <w:rFonts w:ascii="Cambria Math" w:cs="Cambria Math" w:eastAsia="Cambria Math" w:hAnsi="Cambria Math"/>
          <w:i/>
          <w:iCs/>
          <w:sz w:val="20"/>
          <w:szCs w:val="20"/>
        </w:rPr>
        <w:t xml:space="preserve">P_k: F × R × S → ℝ</w:t>
      </w:r>
      <w:r>
        <w:rPr>
          <w:rFonts w:ascii="Times New Roman" w:cs="Times New Roman" w:eastAsia="Times New Roman" w:hAnsi="Times New Roman"/>
          <w:b w:val="false"/>
          <w:bCs w:val="false"/>
          <w:color w:val="000000"/>
          <w:sz w:val="20"/>
          <w:szCs w:val="20"/>
        </w:rPr>
        <w:t xml:space="preserve"> and an update rule </w:t>
      </w:r>
      <w:r>
        <w:rPr>
          <w:rFonts w:ascii="Cambria Math" w:cs="Cambria Math" w:eastAsia="Cambria Math" w:hAnsi="Cambria Math"/>
          <w:i/>
          <w:iCs/>
          <w:sz w:val="20"/>
          <w:szCs w:val="20"/>
        </w:rPr>
        <w:t xml:space="preserve">Ω_k</w:t>
      </w:r>
      <w:r>
        <w:rPr>
          <w:rFonts w:ascii="Times New Roman" w:cs="Times New Roman" w:eastAsia="Times New Roman" w:hAnsi="Times New Roman"/>
          <w:b w:val="false"/>
          <w:bCs w:val="false"/>
          <w:color w:val="000000"/>
          <w:sz w:val="20"/>
          <w:szCs w:val="20"/>
        </w:rPr>
        <w:t xml:space="preserve"> such that:</w:t>
      </w:r>
      <w:r>
        <w:rPr>
          <w:rFonts w:ascii="Times New Roman" w:cs="Times New Roman" w:eastAsia="Times New Roman" w:hAnsi="Times New Roman"/>
          <w:b w:val="false"/>
          <w:bCs w:val="false"/>
          <w:color w:val="000000"/>
          <w:sz w:val="20"/>
          <w:szCs w:val="20"/>
        </w:rPr>
        <w:t xml:space="preserve">   </w:t>
      </w:r>
      <w:r>
        <w:rPr>
          <w:rFonts w:ascii="Cambria Math" w:cs="Cambria Math" w:eastAsia="Cambria Math" w:hAnsi="Cambria Math"/>
          <w:i/>
          <w:iCs/>
          <w:sz w:val="20"/>
          <w:szCs w:val="20"/>
        </w:rPr>
        <w:t xml:space="preserve">f_k^(t+1) = Ω_k(f_k^(t), ∇P_k, ξ)</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∇P_k</w:t>
      </w:r>
      <w:r>
        <w:rPr>
          <w:rFonts w:ascii="Times New Roman" w:cs="Times New Roman" w:eastAsia="Times New Roman" w:hAnsi="Times New Roman"/>
          <w:b w:val="false"/>
          <w:bCs w:val="false"/>
          <w:color w:val="000000"/>
          <w:sz w:val="20"/>
          <w:szCs w:val="20"/>
        </w:rPr>
        <w:t xml:space="preserve"> is the gradient of performance and </w:t>
      </w:r>
      <w:r>
        <w:rPr>
          <w:rFonts w:ascii="Cambria Math" w:cs="Cambria Math" w:eastAsia="Cambria Math" w:hAnsi="Cambria Math"/>
          <w:i/>
          <w:iCs/>
          <w:sz w:val="20"/>
          <w:szCs w:val="20"/>
        </w:rPr>
        <w:t xml:space="preserve">ξ</w:t>
      </w:r>
      <w:r>
        <w:rPr>
          <w:rFonts w:ascii="Times New Roman" w:cs="Times New Roman" w:eastAsia="Times New Roman" w:hAnsi="Times New Roman"/>
          <w:b w:val="false"/>
          <w:bCs w:val="false"/>
          <w:color w:val="000000"/>
          <w:sz w:val="20"/>
          <w:szCs w:val="20"/>
        </w:rPr>
        <w:t xml:space="preserve"> introduces stochastic exploration. This formulation generalizes gradient descent (LeCun et al., 2015) to the setting of functional entities whose internal structure may itself evolve, not merely whose parameters are updated.</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stochastic term </w:t>
      </w:r>
      <w:r>
        <w:rPr>
          <w:rFonts w:ascii="Cambria Math" w:cs="Cambria Math" w:eastAsia="Cambria Math" w:hAnsi="Cambria Math"/>
          <w:i/>
          <w:iCs/>
          <w:sz w:val="20"/>
          <w:szCs w:val="20"/>
        </w:rPr>
        <w:t xml:space="preserve">ξ</w:t>
      </w:r>
      <w:r>
        <w:rPr>
          <w:rFonts w:ascii="Times New Roman" w:cs="Times New Roman" w:eastAsia="Times New Roman" w:hAnsi="Times New Roman"/>
          <w:b w:val="false"/>
          <w:bCs w:val="false"/>
          <w:color w:val="000000"/>
          <w:sz w:val="20"/>
          <w:szCs w:val="20"/>
        </w:rPr>
        <w:t xml:space="preserve"> is essential: purely gradient-driven optimization converges to local optima and fails to explore the landscape of functional configurations. Evolutionary strategies (Rechenberg, 1973), simulated annealing (Kirkpatrick et al., 1983), and more recent meta-gradient methods (Andrychowicz et al., 2016) all provide principled approaches to the exploration-exploitation trade-off in Layer 5. The autonomous character of Layer 5 optimization means that the system modifies its own functional organization without human guidance. This creates the possibility of discovering novel functional configurations that human designers would not have anticipated, but it also creates the risk of optimization toward objectives that diverge from human intentions. Layer 5 therefore requires careful specification of performance functions that are aligned with the broader goals of the architecture.</w:t>
      </w:r>
    </w:p>
    <w:p>
      <w:pPr>
        <w:pStyle w:val="Heading2"/>
        <w:spacing w:before="360" w:after="160"/>
      </w:pPr>
      <w:r>
        <w:rPr>
          <w:rFonts w:ascii="Times New Roman" w:cs="Times New Roman" w:eastAsia="Times New Roman" w:hAnsi="Times New Roman"/>
          <w:b/>
          <w:bCs/>
          <w:color w:val="000000"/>
          <w:sz w:val="22"/>
          <w:szCs w:val="22"/>
        </w:rPr>
        <w:t xml:space="preserve">3.6 Layers 6 and 7: Meta-Learning and Emergent Self-Awareness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6 implements meta-learning: the capacity to learn how to learn. Formally, the system optimizes not only performance functions </w:t>
      </w:r>
      <w:r>
        <w:rPr>
          <w:rFonts w:ascii="Cambria Math" w:cs="Cambria Math" w:eastAsia="Cambria Math" w:hAnsi="Cambria Math"/>
          <w:i/>
          <w:iCs/>
          <w:sz w:val="20"/>
          <w:szCs w:val="20"/>
        </w:rPr>
        <w:t xml:space="preserve">P_k</w:t>
      </w:r>
      <w:r>
        <w:rPr>
          <w:rFonts w:ascii="Times New Roman" w:cs="Times New Roman" w:eastAsia="Times New Roman" w:hAnsi="Times New Roman"/>
          <w:b w:val="false"/>
          <w:bCs w:val="false"/>
          <w:color w:val="000000"/>
          <w:sz w:val="20"/>
          <w:szCs w:val="20"/>
        </w:rPr>
        <w:t xml:space="preserve"> but also the update rules </w:t>
      </w:r>
      <w:r>
        <w:rPr>
          <w:rFonts w:ascii="Cambria Math" w:cs="Cambria Math" w:eastAsia="Cambria Math" w:hAnsi="Cambria Math"/>
          <w:i/>
          <w:iCs/>
          <w:sz w:val="20"/>
          <w:szCs w:val="20"/>
        </w:rPr>
        <w:t xml:space="preserve">Ω_k</w:t>
      </w:r>
      <w:r>
        <w:rPr>
          <w:rFonts w:ascii="Times New Roman" w:cs="Times New Roman" w:eastAsia="Times New Roman" w:hAnsi="Times New Roman"/>
          <w:b w:val="false"/>
          <w:bCs w:val="false"/>
          <w:color w:val="000000"/>
          <w:sz w:val="20"/>
          <w:szCs w:val="20"/>
        </w:rPr>
        <w:t xml:space="preserve"> themselves, yielding a second-order optimization problem. Model-agnostic meta-learning (Finn, Abbeel, &amp; Levine, 2018) provides a concrete algorithmic realization: MAML seeks initial parameter settings from which a small number of gradient steps on a new task yields good performance, effectively learning a prior over task-specific solutions. In the Nexus Framework, meta-learning at Layer 6 enables the system to transfer functional organization across task domains, generalize to novel environments with minimal exposure, and dynamically adjust its learning algorithm in response to feedback from Layers 4 and 5.</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7 introduces emergent self-awareness: the system constructs and maintains an internal representation of its own operational state, enabling it to reason about its own processing, detect inconsistencies in its functional organization, and initiate corrective action. This is not consciousness in the phenomenological sense; it is a formal self-model, a computational structure that encodes the system's current functional configuration, its recent operational history, and its projected future states. The emergence of self-awareness at Layer 7 marks the transition from reactive to reflective intelligence: the system can now distinguish between its representations of the external world and its representations of its own representational processes.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formal operator of Layer 7 is a global synthesis function </w:t>
      </w:r>
      <w:r>
        <w:rPr>
          <w:rFonts w:ascii="Cambria Math" w:cs="Cambria Math" w:eastAsia="Cambria Math" w:hAnsi="Cambria Math"/>
          <w:i/>
          <w:iCs/>
          <w:sz w:val="20"/>
          <w:szCs w:val="20"/>
        </w:rPr>
        <w:t xml:space="preserve">Ψ</w:t>
      </w:r>
      <w:r>
        <w:rPr>
          <w:rFonts w:ascii="Times New Roman" w:cs="Times New Roman" w:eastAsia="Times New Roman" w:hAnsi="Times New Roman"/>
          <w:b w:val="false"/>
          <w:bCs w:val="false"/>
          <w:color w:val="000000"/>
          <w:sz w:val="20"/>
          <w:szCs w:val="20"/>
        </w:rPr>
        <w:t xml:space="preserve"> that integrates the outputs of all lower layers into a coherent, hierarchically organized state representation </w:t>
      </w:r>
      <w:r>
        <w:rPr>
          <w:rFonts w:ascii="Cambria Math" w:cs="Cambria Math" w:eastAsia="Cambria Math" w:hAnsi="Cambria Math"/>
          <w:i/>
          <w:iCs/>
          <w:sz w:val="20"/>
          <w:szCs w:val="20"/>
        </w:rPr>
        <w:t xml:space="preserve">G_t = Ψ(L_1, L_2, ..., L_6, t)</w:t>
      </w:r>
      <w:r>
        <w:rPr>
          <w:rFonts w:ascii="Times New Roman" w:cs="Times New Roman" w:eastAsia="Times New Roman" w:hAnsi="Times New Roman"/>
          <w:b w:val="false"/>
          <w:bCs w:val="false"/>
          <w:color w:val="000000"/>
          <w:sz w:val="20"/>
          <w:szCs w:val="20"/>
        </w:rPr>
        <w:t xml:space="preserve">. The synthesis operator must satisfy an idempotency condition: applying </w:t>
      </w:r>
      <w:r>
        <w:rPr>
          <w:rFonts w:ascii="Cambria Math" w:cs="Cambria Math" w:eastAsia="Cambria Math" w:hAnsi="Cambria Math"/>
          <w:i/>
          <w:iCs/>
          <w:sz w:val="20"/>
          <w:szCs w:val="20"/>
        </w:rPr>
        <w:t xml:space="preserve">Ψ</w:t>
      </w:r>
      <w:r>
        <w:rPr>
          <w:rFonts w:ascii="Times New Roman" w:cs="Times New Roman" w:eastAsia="Times New Roman" w:hAnsi="Times New Roman"/>
          <w:b w:val="false"/>
          <w:bCs w:val="false"/>
          <w:color w:val="000000"/>
          <w:sz w:val="20"/>
          <w:szCs w:val="20"/>
        </w:rPr>
        <w:t xml:space="preserve"> twice does not change the result, ensuring that self-monitoring does not generate an infinite regress of self-awareness. The coherence of the global state representation is monitored through information-theoretic measures, specifically the integrated information </w:t>
      </w:r>
      <w:r>
        <w:rPr>
          <w:rFonts w:ascii="Cambria Math" w:cs="Cambria Math" w:eastAsia="Cambria Math" w:hAnsi="Cambria Math"/>
          <w:i/>
          <w:iCs/>
          <w:sz w:val="20"/>
          <w:szCs w:val="20"/>
        </w:rPr>
        <w:t xml:space="preserve">Φ</w:t>
      </w:r>
      <w:r>
        <w:rPr>
          <w:rFonts w:ascii="Times New Roman" w:cs="Times New Roman" w:eastAsia="Times New Roman" w:hAnsi="Times New Roman"/>
          <w:b w:val="false"/>
          <w:bCs w:val="false"/>
          <w:color w:val="000000"/>
          <w:sz w:val="20"/>
          <w:szCs w:val="20"/>
        </w:rPr>
        <w:t xml:space="preserve"> proposed by Tononi (2008), which quantifies the degree to which the global state carries information over and above the sum of its parts.</w:t>
      </w:r>
    </w:p>
    <w:p>
      <w:r>
        <w:br w:type="page"/>
      </w:r>
    </w:p>
    <w:p>
      <w:pPr>
        <w:pStyle w:val="Heading2"/>
        <w:spacing w:before="360" w:after="160"/>
      </w:pPr>
      <w:r>
        <w:rPr>
          <w:rFonts w:ascii="Times New Roman" w:cs="Times New Roman" w:eastAsia="Times New Roman" w:hAnsi="Times New Roman"/>
          <w:b/>
          <w:bCs/>
          <w:color w:val="000000"/>
          <w:sz w:val="22"/>
          <w:szCs w:val="22"/>
        </w:rPr>
        <w:t xml:space="preserve">3.7 Layers 8 and 9: Temporality and Ontological Creation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8 addresses temporality not as a primitive of the architecture but as an emergent construct. The temporal ordering at Layers 1-7 was a simulation index, an abstract parameter governing state transitions. Layer 8 treats this index itself as an object of representation: the system constructs an internal model of temporal flux, identifying invariants that persist across temporal shifts and transformations that generate temporal structure from atemporal observables. Formally, Layer 8 introduces a temporal representation space </w:t>
      </w:r>
      <w:r>
        <w:rPr>
          <w:rFonts w:ascii="Cambria Math" w:cs="Cambria Math" w:eastAsia="Cambria Math" w:hAnsi="Cambria Math"/>
          <w:i/>
          <w:iCs/>
          <w:sz w:val="20"/>
          <w:szCs w:val="20"/>
        </w:rPr>
        <w:t xml:space="preserve">T</w:t>
      </w:r>
      <w:r>
        <w:rPr>
          <w:rFonts w:ascii="Times New Roman" w:cs="Times New Roman" w:eastAsia="Times New Roman" w:hAnsi="Times New Roman"/>
          <w:b w:val="false"/>
          <w:bCs w:val="false"/>
          <w:color w:val="000000"/>
          <w:sz w:val="20"/>
          <w:szCs w:val="20"/>
        </w:rPr>
        <w:t xml:space="preserve"> and a flux operator </w:t>
      </w:r>
      <w:r>
        <w:rPr>
          <w:rFonts w:ascii="Cambria Math" w:cs="Cambria Math" w:eastAsia="Cambria Math" w:hAnsi="Cambria Math"/>
          <w:i/>
          <w:iCs/>
          <w:sz w:val="20"/>
          <w:szCs w:val="20"/>
        </w:rPr>
        <w:t xml:space="preserve">Δ: T → T</w:t>
      </w:r>
      <w:r>
        <w:rPr>
          <w:rFonts w:ascii="Times New Roman" w:cs="Times New Roman" w:eastAsia="Times New Roman" w:hAnsi="Times New Roman"/>
          <w:b w:val="false"/>
          <w:bCs w:val="false"/>
          <w:color w:val="000000"/>
          <w:sz w:val="20"/>
          <w:szCs w:val="20"/>
        </w:rPr>
        <w:t xml:space="preserve"> that encodes the system's model of change. The fixed points of </w:t>
      </w:r>
      <w:r>
        <w:rPr>
          <w:rFonts w:ascii="Cambria Math" w:cs="Cambria Math" w:eastAsia="Cambria Math" w:hAnsi="Cambria Math"/>
          <w:i/>
          <w:iCs/>
          <w:sz w:val="20"/>
          <w:szCs w:val="20"/>
        </w:rPr>
        <w:t xml:space="preserve">Δ</w:t>
      </w:r>
      <w:r>
        <w:rPr>
          <w:rFonts w:ascii="Times New Roman" w:cs="Times New Roman" w:eastAsia="Times New Roman" w:hAnsi="Times New Roman"/>
          <w:b w:val="false"/>
          <w:bCs w:val="false"/>
          <w:color w:val="000000"/>
          <w:sz w:val="20"/>
          <w:szCs w:val="20"/>
        </w:rPr>
        <w:t xml:space="preserve"> are the temporal invariants, the structures that the system identifies as stable across its own temporal dynamics.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This formulation resonates with Rovelli's (1996) relational quantum mechanics, in which time is not an external parameter but a relational quantity constituted by the correlations among physical events. It also connects to the mathematical theory of dynamical systems, where the long-run behavior of a trajectory is captured by its attractor, an invariant set that is approached but never precisely reached. Layer 8 enables the system to reason about its own temporal horizons, to identify which of its functional configurations are stable over long time scales and which are transient, and to project its current state into a probabilistic future.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9 introduces the creation of genuinely new ontological categories. At Layers 1-8, the system operates within a representational vocabulary that, while emergent, is traceable to the initial set of observables </w:t>
      </w:r>
      <w:r>
        <w:rPr>
          <w:rFonts w:ascii="Cambria Math" w:cs="Cambria Math" w:eastAsia="Cambria Math" w:hAnsi="Cambria Math"/>
          <w:i/>
          <w:iCs/>
          <w:sz w:val="20"/>
          <w:szCs w:val="20"/>
        </w:rPr>
        <w:t xml:space="preserve">O</w:t>
      </w:r>
      <w:r>
        <w:rPr>
          <w:rFonts w:ascii="Times New Roman" w:cs="Times New Roman" w:eastAsia="Times New Roman" w:hAnsi="Times New Roman"/>
          <w:b w:val="false"/>
          <w:bCs w:val="false"/>
          <w:color w:val="000000"/>
          <w:sz w:val="20"/>
          <w:szCs w:val="20"/>
        </w:rPr>
        <w:t xml:space="preserve">. Layer 9 is the point at which the system generates representational primitives that are not traceable to </w:t>
      </w:r>
      <w:r>
        <w:rPr>
          <w:rFonts w:ascii="Cambria Math" w:cs="Cambria Math" w:eastAsia="Cambria Math" w:hAnsi="Cambria Math"/>
          <w:i/>
          <w:iCs/>
          <w:sz w:val="20"/>
          <w:szCs w:val="20"/>
        </w:rPr>
        <w:t xml:space="preserve">O</w:t>
      </w:r>
      <w:r>
        <w:rPr>
          <w:rFonts w:ascii="Times New Roman" w:cs="Times New Roman" w:eastAsia="Times New Roman" w:hAnsi="Times New Roman"/>
          <w:b w:val="false"/>
          <w:bCs w:val="false"/>
          <w:color w:val="000000"/>
          <w:sz w:val="20"/>
          <w:szCs w:val="20"/>
        </w:rPr>
        <w:t xml:space="preserve">: new categories, new morphism types, or new categorical structures that arise through the composition and transformation of existing structures. Formally, this corresponds to the appearance of new objects and morphisms in the categorical representation of the system that were not present in any prior category. Category theory provides a rigorous framework for detecting such ontological novelty: a new functor that cannot be expressed as a composition of existing functors represents a genuine categorical innovation.</w:t>
      </w:r>
    </w:p>
    <w:p>
      <w:pPr>
        <w:pStyle w:val="Heading2"/>
        <w:spacing w:before="360" w:after="160"/>
      </w:pPr>
      <w:r>
        <w:rPr>
          <w:rFonts w:ascii="Times New Roman" w:cs="Times New Roman" w:eastAsia="Times New Roman" w:hAnsi="Times New Roman"/>
          <w:b/>
          <w:bCs/>
          <w:color w:val="000000"/>
          <w:sz w:val="22"/>
          <w:szCs w:val="22"/>
        </w:rPr>
        <w:t xml:space="preserve">3.8 Layer 10: Global Meta-Ontological Evaluation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10 introduces a meta-evaluative operator </w:t>
      </w:r>
      <w:r>
        <w:rPr>
          <w:rFonts w:ascii="Cambria Math" w:cs="Cambria Math" w:eastAsia="Cambria Math" w:hAnsi="Cambria Math"/>
          <w:i/>
          <w:iCs/>
          <w:sz w:val="20"/>
          <w:szCs w:val="20"/>
        </w:rPr>
        <w:t xml:space="preserve">G_M: O_total → {o*, R_global(κ_i)}</w:t>
      </w:r>
      <w:r>
        <w:rPr>
          <w:rFonts w:ascii="Times New Roman" w:cs="Times New Roman" w:eastAsia="Times New Roman" w:hAnsi="Times New Roman"/>
          <w:b w:val="false"/>
          <w:bCs w:val="false"/>
          <w:color w:val="000000"/>
          <w:sz w:val="20"/>
          <w:szCs w:val="20"/>
        </w:rPr>
        <w:t xml:space="preserve"> that assesses the global coherence of the ontological architecture constructed by Layers 1-9. Unlike the performance functions at Layer 5, which evaluate individual functional entities, the meta-operator at Layer 10 evaluates the entire ontological configuration simultaneously, identifying inconsistencies, redundancies, and gaps in the representational coverage.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mathematical machinery of Layer 10 draws on topological data analysis (Edelsbrunner &amp; Harer, 2010). Persistent homology applied to the global ontological complex identifies topological features, connected components, cycles, voids, and higher-dimensional holes, that persist across multiple filtration scales. These topological invariants provide a coordinate-free, scale-invariant characterization of the global ontological structure that is robust to small perturbations and measurement noise. The </w:t>
      </w:r>
      <w:r>
        <w:rPr>
          <w:rFonts w:ascii="Times New Roman" w:cs="Times New Roman" w:eastAsia="Times New Roman" w:hAnsi="Times New Roman"/>
          <w:b w:val="false"/>
          <w:bCs w:val="false"/>
          <w:color w:val="000000"/>
          <w:sz w:val="20"/>
          <w:szCs w:val="20"/>
        </w:rPr>
        <w:t xml:space="preserve">persistence diagram</w:t>
      </w:r>
      <w:r>
        <w:rPr>
          <w:rFonts w:ascii="Times New Roman" w:cs="Times New Roman" w:eastAsia="Times New Roman" w:hAnsi="Times New Roman"/>
          <w:b w:val="false"/>
          <w:bCs w:val="false"/>
          <w:color w:val="000000"/>
          <w:sz w:val="20"/>
          <w:szCs w:val="20"/>
        </w:rPr>
        <w:t xml:space="preserve"> of the ontological complex, a representation of birth and death times of topological features across the filtration, serves as the primary diagnostic tool for Layer 10 evaluation.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A concrete demonstration of Layer 10 dynamics was implemented in a replicator dynamics simulation (as described in the Nexus Framework's computational appendices). </w:t>
      </w:r>
      <w:r>
        <w:rPr>
          <w:rFonts w:ascii="Cambria Math" w:cs="Cambria Math" w:eastAsia="Cambria Math" w:hAnsi="Cambria Math"/>
          <w:i/>
          <w:iCs/>
          <w:sz w:val="20"/>
          <w:szCs w:val="20"/>
        </w:rPr>
        <w:t xml:space="preserve">N = 50</w:t>
      </w:r>
      <w:r>
        <w:rPr>
          <w:rFonts w:ascii="Times New Roman" w:cs="Times New Roman" w:eastAsia="Times New Roman" w:hAnsi="Times New Roman"/>
          <w:b w:val="false"/>
          <w:bCs w:val="false"/>
          <w:color w:val="000000"/>
          <w:sz w:val="20"/>
          <w:szCs w:val="20"/>
        </w:rPr>
        <w:t xml:space="preserve"> agents sharing a renewable resource with regeneration dynamics were allowed to adapt their extraction propensities through replicator-like update rules. The simulation exhibited the critical phenomenon predicted by Layer 10: local rational adaptation produced global resource collapse, a systemic failure mode that could not be diagnosed from inspection of individual agent behaviors but required meta-level monitoring of the collective dynamic. Early-warning signals, including rising variance in resource levels, increasing autocorrelation, and the appearance of a dominant zero-dimensional persistence class in the topological filtration of agent-state trajectories, predicted the collapse approximately twelve time steps before it occurred.</w:t>
      </w:r>
    </w:p>
    <w:p>
      <w:pPr>
        <w:pStyle w:val="Heading2"/>
        <w:spacing w:before="360" w:after="160"/>
      </w:pPr>
      <w:r>
        <w:rPr>
          <w:rFonts w:ascii="Times New Roman" w:cs="Times New Roman" w:eastAsia="Times New Roman" w:hAnsi="Times New Roman"/>
          <w:b/>
          <w:bCs/>
          <w:color w:val="000000"/>
          <w:sz w:val="22"/>
          <w:szCs w:val="22"/>
        </w:rPr>
        <w:t xml:space="preserve">3.9 Layers 11 and 12: Contextualization and Transdimensional Reconciliation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11 introduces adaptive meta-contextualization: the ability to reinterpret ontological conclusions in light of shifting contextual parameters. The contextual operator extends the meta-operator of Layer 10 by incorporating an explicit context parameter </w:t>
      </w:r>
      <w:r>
        <w:rPr>
          <w:rFonts w:ascii="Cambria Math" w:cs="Cambria Math" w:eastAsia="Cambria Math" w:hAnsi="Cambria Math"/>
          <w:i/>
          <w:iCs/>
          <w:sz w:val="20"/>
          <w:szCs w:val="20"/>
        </w:rPr>
        <w:t xml:space="preserve">C</w:t>
      </w:r>
      <w:r>
        <w:rPr>
          <w:rFonts w:ascii="Times New Roman" w:cs="Times New Roman" w:eastAsia="Times New Roman" w:hAnsi="Times New Roman"/>
          <w:b w:val="false"/>
          <w:bCs w:val="false"/>
          <w:color w:val="000000"/>
          <w:sz w:val="20"/>
          <w:szCs w:val="20"/>
        </w:rPr>
        <w:t xml:space="preserve"> representing temporal, cultural, ontological, and epistemic conditions: </w:t>
      </w:r>
      <w:r>
        <w:rPr>
          <w:rFonts w:ascii="Cambria Math" w:cs="Cambria Math" w:eastAsia="Cambria Math" w:hAnsi="Cambria Math"/>
          <w:i/>
          <w:iCs/>
          <w:sz w:val="20"/>
          <w:szCs w:val="20"/>
        </w:rPr>
        <w:t xml:space="preserve">G_C: (O_total, C) → {o*_adapted | o*_adapted = f(o*, C), o* ∈ G_M(O_total)}</w:t>
      </w:r>
      <w:r>
        <w:rPr>
          <w:rFonts w:ascii="Times New Roman" w:cs="Times New Roman" w:eastAsia="Times New Roman" w:hAnsi="Times New Roman"/>
          <w:b w:val="false"/>
          <w:bCs w:val="false"/>
          <w:color w:val="000000"/>
          <w:sz w:val="20"/>
          <w:szCs w:val="20"/>
        </w:rPr>
        <w:t xml:space="preserve">. The transformation function </w:t>
      </w:r>
      <w:r>
        <w:rPr>
          <w:rFonts w:ascii="Cambria Math" w:cs="Cambria Math" w:eastAsia="Cambria Math" w:hAnsi="Cambria Math"/>
          <w:i/>
          <w:iCs/>
          <w:sz w:val="20"/>
          <w:szCs w:val="20"/>
        </w:rPr>
        <w:t xml:space="preserve">f</w:t>
      </w:r>
      <w:r>
        <w:rPr>
          <w:rFonts w:ascii="Times New Roman" w:cs="Times New Roman" w:eastAsia="Times New Roman" w:hAnsi="Times New Roman"/>
          <w:b w:val="false"/>
          <w:bCs w:val="false"/>
          <w:color w:val="000000"/>
          <w:sz w:val="20"/>
          <w:szCs w:val="20"/>
        </w:rPr>
        <w:t xml:space="preserve"> maps meta-evaluated states into context-adapted states while preserving inferential relations, analogous to a functor in enriched category theory (Kelly, 1982).</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This formalism enables the system to maintain coherent representations across paradigm shifts (Kuhn, 1962), cultural differences (Nguyen et al., 2023), and ontological discontinuities. The empirical literature provides strong motivation: large language models trained on culturally homogeneous corpora exhibit systematic biases when applied to culturally heterogeneous contexts (Bender et al., 2021), and meta-reinforcement learning agents trained on restricted task distributions generalize poorly to out-of-distribution environments (Wang et al., 2019). Layer 11 addresses these limitations by making contextual adaptation an explicit, formally specified operation rather than an implicit by-product of training data diversity.</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12 is the most architecturally ambitious layer within the foundational cluster. Its task is transdimensional reconciliation: the construction of mediating structures that bring apparently incompatible ontological frameworks into productive relation without erasing their differences. Formally, if the outputs of Layer 11 are an indexed family of context-adapted ontological states </w:t>
      </w:r>
      <w:r>
        <w:rPr>
          <w:rFonts w:ascii="Cambria Math" w:cs="Cambria Math" w:eastAsia="Cambria Math" w:hAnsi="Cambria Math"/>
          <w:i/>
          <w:iCs/>
          <w:sz w:val="20"/>
          <w:szCs w:val="20"/>
        </w:rPr>
        <w:t xml:space="preserve">{(o*_i, C_i)}_{i∈I}</w:t>
      </w:r>
      <w:r>
        <w:rPr>
          <w:rFonts w:ascii="Times New Roman" w:cs="Times New Roman" w:eastAsia="Times New Roman" w:hAnsi="Times New Roman"/>
          <w:b w:val="false"/>
          <w:bCs w:val="false"/>
          <w:color w:val="000000"/>
          <w:sz w:val="20"/>
          <w:szCs w:val="20"/>
        </w:rPr>
        <w:t xml:space="preserve">, then the reconciliation operator is: </w:t>
      </w:r>
      <w:r>
        <w:rPr>
          <w:rFonts w:ascii="Cambria Math" w:cs="Cambria Math" w:eastAsia="Cambria Math" w:hAnsi="Cambria Math"/>
          <w:i/>
          <w:iCs/>
          <w:sz w:val="20"/>
          <w:szCs w:val="20"/>
        </w:rPr>
        <w:t xml:space="preserve">G_T: {(o*_i, C_i)}_{i∈I} → R</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R</w:t>
      </w:r>
      <w:r>
        <w:rPr>
          <w:rFonts w:ascii="Times New Roman" w:cs="Times New Roman" w:eastAsia="Times New Roman" w:hAnsi="Times New Roman"/>
          <w:b w:val="false"/>
          <w:bCs w:val="false"/>
          <w:color w:val="000000"/>
          <w:sz w:val="20"/>
          <w:szCs w:val="20"/>
        </w:rPr>
        <w:t xml:space="preserve"> is the reconciled meta-object, a universal construction in the categorical sense, specifically a colimit of the diagram formed by the adapted states and their mediating morphisms.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Massimi's (2022) perspectival realism and Fong and Spivak's (2019) applied category theory jointly provide the theoretical grounding for this operation. Massimi argues that scientific models are perspective-relative but can nevertheless converge toward reliable and integrative knowledge through the disciplined articulation of the conditions of validity of each perspective. Category theory makes this process operational: the colimit construction produces a canonical object that aggregates all input perspectives while making their relationships explicit and testable. The risks of Layer 12, including epistemic flattening, excessive abstraction, and political capture of the reconciliation process, require governance mechanisms including provenance tracking, transparency and reversibility of reconciliation decisions, and participatory co-design by the communities whose ontologies are being mapped.</w:t>
      </w:r>
    </w:p>
    <w:p>
      <w:r>
        <w:br w:type="page"/>
      </w:r>
    </w:p>
    <w:p>
      <w:pPr>
        <w:pStyle w:val="Heading2"/>
        <w:spacing w:before="360" w:after="160"/>
      </w:pPr>
      <w:r>
        <w:rPr>
          <w:rFonts w:ascii="Times New Roman" w:cs="Times New Roman" w:eastAsia="Times New Roman" w:hAnsi="Times New Roman"/>
          <w:b/>
          <w:bCs/>
          <w:color w:val="000000"/>
          <w:sz w:val="22"/>
          <w:szCs w:val="22"/>
        </w:rPr>
        <w:t xml:space="preserve">3.10 Layers 13 and 14: Ontogenesis and Autopoietic Worldbuilding</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13 is the layer of ontogenesis: the creation of genuinely new structures that cannot be reduced to any pre-existing configuration. Formally, let </w:t>
      </w:r>
      <w:r>
        <w:rPr>
          <w:rFonts w:ascii="Cambria Math" w:cs="Cambria Math" w:eastAsia="Cambria Math" w:hAnsi="Cambria Math"/>
          <w:i/>
          <w:iCs/>
          <w:sz w:val="20"/>
          <w:szCs w:val="20"/>
        </w:rPr>
        <w:t xml:space="preserve">R_t</w:t>
      </w:r>
      <w:r>
        <w:rPr>
          <w:rFonts w:ascii="Times New Roman" w:cs="Times New Roman" w:eastAsia="Times New Roman" w:hAnsi="Times New Roman"/>
          <w:b w:val="false"/>
          <w:bCs w:val="false"/>
          <w:color w:val="000000"/>
          <w:sz w:val="20"/>
          <w:szCs w:val="20"/>
        </w:rPr>
        <w:t xml:space="preserve"> denote the reconciled meta-object at time </w:t>
      </w:r>
      <w:r>
        <w:rPr>
          <w:rFonts w:ascii="Cambria Math" w:cs="Cambria Math" w:eastAsia="Cambria Math" w:hAnsi="Cambria Math"/>
          <w:i/>
          <w:iCs/>
          <w:sz w:val="20"/>
          <w:szCs w:val="20"/>
        </w:rPr>
        <w:t xml:space="preserve">t</w:t>
      </w:r>
      <w:r>
        <w:rPr>
          <w:rFonts w:ascii="Times New Roman" w:cs="Times New Roman" w:eastAsia="Times New Roman" w:hAnsi="Times New Roman"/>
          <w:b w:val="false"/>
          <w:bCs w:val="false"/>
          <w:color w:val="000000"/>
          <w:sz w:val="20"/>
          <w:szCs w:val="20"/>
        </w:rPr>
        <w:t xml:space="preserve">. An emergent operator </w:t>
      </w:r>
      <w:r>
        <w:rPr>
          <w:rFonts w:ascii="Cambria Math" w:cs="Cambria Math" w:eastAsia="Cambria Math" w:hAnsi="Cambria Math"/>
          <w:i/>
          <w:iCs/>
          <w:sz w:val="20"/>
          <w:szCs w:val="20"/>
        </w:rPr>
        <w:t xml:space="preserve">E</w:t>
      </w:r>
      <w:r>
        <w:rPr>
          <w:rFonts w:ascii="Times New Roman" w:cs="Times New Roman" w:eastAsia="Times New Roman" w:hAnsi="Times New Roman"/>
          <w:b w:val="false"/>
          <w:bCs w:val="false"/>
          <w:color w:val="000000"/>
          <w:sz w:val="20"/>
          <w:szCs w:val="20"/>
        </w:rPr>
        <w:t xml:space="preserve"> transforms this into the next state: </w:t>
      </w:r>
      <w:r>
        <w:rPr>
          <w:rFonts w:ascii="Cambria Math" w:cs="Cambria Math" w:eastAsia="Cambria Math" w:hAnsi="Cambria Math"/>
          <w:i/>
          <w:iCs/>
          <w:sz w:val="20"/>
          <w:szCs w:val="20"/>
        </w:rPr>
        <w:t xml:space="preserve">R_{t+1} = E(R_t, Δ_t)</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Δ_t</w:t>
      </w:r>
      <w:r>
        <w:rPr>
          <w:rFonts w:ascii="Times New Roman" w:cs="Times New Roman" w:eastAsia="Times New Roman" w:hAnsi="Times New Roman"/>
          <w:b w:val="false"/>
          <w:bCs w:val="false"/>
          <w:color w:val="000000"/>
          <w:sz w:val="20"/>
          <w:szCs w:val="20"/>
        </w:rPr>
        <w:t xml:space="preserve"> encodes exogenous perturbations and stochastic exploration. Ontogenesis at Layer 13 is certified when the operator </w:t>
      </w:r>
      <w:r>
        <w:rPr>
          <w:rFonts w:ascii="Cambria Math" w:cs="Cambria Math" w:eastAsia="Cambria Math" w:hAnsi="Cambria Math"/>
          <w:i/>
          <w:iCs/>
          <w:sz w:val="20"/>
          <w:szCs w:val="20"/>
        </w:rPr>
        <w:t xml:space="preserve">E</w:t>
      </w:r>
      <w:r>
        <w:rPr>
          <w:rFonts w:ascii="Times New Roman" w:cs="Times New Roman" w:eastAsia="Times New Roman" w:hAnsi="Times New Roman"/>
          <w:b w:val="false"/>
          <w:bCs w:val="false"/>
          <w:color w:val="000000"/>
          <w:sz w:val="20"/>
          <w:szCs w:val="20"/>
        </w:rPr>
        <w:t xml:space="preserve"> produces invariant sets </w:t>
      </w:r>
      <w:r>
        <w:rPr>
          <w:rFonts w:ascii="Cambria Math" w:cs="Cambria Math" w:eastAsia="Cambria Math" w:hAnsi="Cambria Math"/>
          <w:i/>
          <w:iCs/>
          <w:sz w:val="20"/>
          <w:szCs w:val="20"/>
        </w:rPr>
        <w:t xml:space="preserve">M</w:t>
      </w:r>
      <w:r>
        <w:rPr>
          <w:rFonts w:ascii="Times New Roman" w:cs="Times New Roman" w:eastAsia="Times New Roman" w:hAnsi="Times New Roman"/>
          <w:b w:val="false"/>
          <w:bCs w:val="false"/>
          <w:color w:val="000000"/>
          <w:sz w:val="20"/>
          <w:szCs w:val="20"/>
        </w:rPr>
        <w:t xml:space="preserve"> satisfying three joint conditions: (i) </w:t>
      </w:r>
      <w:r>
        <w:rPr>
          <w:rFonts w:ascii="Cambria Math" w:cs="Cambria Math" w:eastAsia="Cambria Math" w:hAnsi="Cambria Math"/>
          <w:i/>
          <w:iCs/>
          <w:sz w:val="20"/>
          <w:szCs w:val="20"/>
        </w:rPr>
        <w:t xml:space="preserve">M</w:t>
      </w:r>
      <w:r>
        <w:rPr>
          <w:rFonts w:ascii="Times New Roman" w:cs="Times New Roman" w:eastAsia="Times New Roman" w:hAnsi="Times New Roman"/>
          <w:b w:val="false"/>
          <w:bCs w:val="false"/>
          <w:color w:val="000000"/>
          <w:sz w:val="20"/>
          <w:szCs w:val="20"/>
        </w:rPr>
        <w:t xml:space="preserve"> did not exist in the state space prior to reconciliation; (ii) </w:t>
      </w:r>
      <w:r>
        <w:rPr>
          <w:rFonts w:ascii="Cambria Math" w:cs="Cambria Math" w:eastAsia="Cambria Math" w:hAnsi="Cambria Math"/>
          <w:i/>
          <w:iCs/>
          <w:sz w:val="20"/>
          <w:szCs w:val="20"/>
        </w:rPr>
        <w:t xml:space="preserve">M</w:t>
      </w:r>
      <w:r>
        <w:rPr>
          <w:rFonts w:ascii="Times New Roman" w:cs="Times New Roman" w:eastAsia="Times New Roman" w:hAnsi="Times New Roman"/>
          <w:b w:val="false"/>
          <w:bCs w:val="false"/>
          <w:color w:val="000000"/>
          <w:sz w:val="20"/>
          <w:szCs w:val="20"/>
        </w:rPr>
        <w:t xml:space="preserve"> exhibits robustness under perturbation; (iii) </w:t>
      </w:r>
      <w:r>
        <w:rPr>
          <w:rFonts w:ascii="Cambria Math" w:cs="Cambria Math" w:eastAsia="Cambria Math" w:hAnsi="Cambria Math"/>
          <w:i/>
          <w:iCs/>
          <w:sz w:val="20"/>
          <w:szCs w:val="20"/>
        </w:rPr>
        <w:t xml:space="preserve">M</w:t>
      </w:r>
      <w:r>
        <w:rPr>
          <w:rFonts w:ascii="Times New Roman" w:cs="Times New Roman" w:eastAsia="Times New Roman" w:hAnsi="Times New Roman"/>
          <w:b w:val="false"/>
          <w:bCs w:val="false"/>
          <w:color w:val="000000"/>
          <w:sz w:val="20"/>
          <w:szCs w:val="20"/>
        </w:rPr>
        <w:t xml:space="preserve"> exerts causal efficacy, demonstrable by counterfactual ablation. These three conditions, novelty, stability, and efficacy, convert the informal notion of emergence into a precisely testable criterion.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empirical literature provides compelling examples. Wei et al. (2022) demonstrated that large language models exhibit qualitative behavioral leaps, emergent abilities, as scale crosses certain thresholds: capabilities such as multi-step arithmetic, chain-of-thought reasoning, and instruction following appear suddenly and were not present in smaller models. These findings, while concerning from a predictability perspective, are precisely the kind of ontogenetic events Layer 13 is designed to detect, characterize, and govern. The topological diagnostic is provided by persistent homology: the birth of a new dominant class in dimension one of the persistence diagram of agent-state trajectories certifies the appearance of a new dynamical manifold, a structure that did not exist in the prior configuration.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14 extends ontogenesis to autopoietic worldbuilding: the construction of self-sustaining, self-reproducing normative environments. Maturana and Varela's (1980) concept of autopoiesis, the property of a system that produces and maintains its own structural components through its own operations, provides the theoretical foundation. At Layer 14, the system does not merely generate new structures but creates the conditions for those structures to maintain themselves and generate further novelty. The formal criterion for autopoiesis is organizational closure: the system's component-producing processes are themselves produced by the system, forming a closed network of production. This is formalized by the existence of a fixed point of the production map: </w:t>
      </w:r>
      <w:r>
        <w:rPr>
          <w:rFonts w:ascii="Cambria Math" w:cs="Cambria Math" w:eastAsia="Cambria Math" w:hAnsi="Cambria Math"/>
          <w:i/>
          <w:iCs/>
          <w:sz w:val="20"/>
          <w:szCs w:val="20"/>
        </w:rPr>
        <w:t xml:space="preserve">P(σ) = σ</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σ</w:t>
      </w:r>
      <w:r>
        <w:rPr>
          <w:rFonts w:ascii="Times New Roman" w:cs="Times New Roman" w:eastAsia="Times New Roman" w:hAnsi="Times New Roman"/>
          <w:b w:val="false"/>
          <w:bCs w:val="false"/>
          <w:color w:val="000000"/>
          <w:sz w:val="20"/>
          <w:szCs w:val="20"/>
        </w:rPr>
        <w:t xml:space="preserve"> is the system's organizational structure.</w:t>
      </w:r>
    </w:p>
    <w:p>
      <w:pPr>
        <w:pStyle w:val="Heading2"/>
        <w:spacing w:before="360" w:after="160"/>
      </w:pPr>
      <w:r>
        <w:rPr>
          <w:rFonts w:ascii="Times New Roman" w:cs="Times New Roman" w:eastAsia="Times New Roman" w:hAnsi="Times New Roman"/>
          <w:b/>
          <w:bCs/>
          <w:color w:val="000000"/>
          <w:sz w:val="22"/>
          <w:szCs w:val="22"/>
        </w:rPr>
        <w:t xml:space="preserve">3.11 Layers 15 and 16: Morphogenesis, Ethics, and Collective Transcendence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15 introduces recursive morphogenesis with full ethical integration. The layer's operation is formalized by an evaluation operator </w:t>
      </w:r>
      <w:r>
        <w:rPr>
          <w:rFonts w:ascii="Cambria Math" w:cs="Cambria Math" w:eastAsia="Cambria Math" w:hAnsi="Cambria Math"/>
          <w:i/>
          <w:iCs/>
          <w:sz w:val="20"/>
          <w:szCs w:val="20"/>
        </w:rPr>
        <w:t xml:space="preserve">Φ: A × V × E → ℝ</w:t>
      </w:r>
      <w:r>
        <w:rPr>
          <w:rFonts w:ascii="Times New Roman" w:cs="Times New Roman" w:eastAsia="Times New Roman" w:hAnsi="Times New Roman"/>
          <w:b w:val="false"/>
          <w:bCs w:val="false"/>
          <w:color w:val="000000"/>
          <w:sz w:val="20"/>
          <w:szCs w:val="20"/>
        </w:rPr>
        <w:t xml:space="preserve"> that maps actions </w:t>
      </w:r>
      <w:r>
        <w:rPr>
          <w:rFonts w:ascii="Cambria Math" w:cs="Cambria Math" w:eastAsia="Cambria Math" w:hAnsi="Cambria Math"/>
          <w:i/>
          <w:iCs/>
          <w:sz w:val="20"/>
          <w:szCs w:val="20"/>
        </w:rPr>
        <w:t xml:space="preserve">A</w:t>
      </w:r>
      <w:r>
        <w:rPr>
          <w:rFonts w:ascii="Times New Roman" w:cs="Times New Roman" w:eastAsia="Times New Roman" w:hAnsi="Times New Roman"/>
          <w:b w:val="false"/>
          <w:bCs w:val="false"/>
          <w:color w:val="000000"/>
          <w:sz w:val="20"/>
          <w:szCs w:val="20"/>
        </w:rPr>
        <w:t xml:space="preserve"> into an ethical performance score relative to both value systems </w:t>
      </w:r>
      <w:r>
        <w:rPr>
          <w:rFonts w:ascii="Cambria Math" w:cs="Cambria Math" w:eastAsia="Cambria Math" w:hAnsi="Cambria Math"/>
          <w:i/>
          <w:iCs/>
          <w:sz w:val="20"/>
          <w:szCs w:val="20"/>
        </w:rPr>
        <w:t xml:space="preserve">V</w:t>
      </w:r>
      <w:r>
        <w:rPr>
          <w:rFonts w:ascii="Times New Roman" w:cs="Times New Roman" w:eastAsia="Times New Roman" w:hAnsi="Times New Roman"/>
          <w:b w:val="false"/>
          <w:bCs w:val="false"/>
          <w:color w:val="000000"/>
          <w:sz w:val="20"/>
          <w:szCs w:val="20"/>
        </w:rPr>
        <w:t xml:space="preserve"> and their meta-structural constraints </w:t>
      </w:r>
      <w:r>
        <w:rPr>
          <w:rFonts w:ascii="Cambria Math" w:cs="Cambria Math" w:eastAsia="Cambria Math" w:hAnsi="Cambria Math"/>
          <w:i/>
          <w:iCs/>
          <w:sz w:val="20"/>
          <w:szCs w:val="20"/>
        </w:rPr>
        <w:t xml:space="preserve">E</w:t>
      </w:r>
      <w:r>
        <w:rPr>
          <w:rFonts w:ascii="Times New Roman" w:cs="Times New Roman" w:eastAsia="Times New Roman" w:hAnsi="Times New Roman"/>
          <w:b w:val="false"/>
          <w:bCs w:val="false"/>
          <w:color w:val="000000"/>
          <w:sz w:val="20"/>
          <w:szCs w:val="20"/>
        </w:rPr>
        <w:t xml:space="preserve">. Reflexivity is introduced by allowing </w:t>
      </w:r>
      <w:r>
        <w:rPr>
          <w:rFonts w:ascii="Cambria Math" w:cs="Cambria Math" w:eastAsia="Cambria Math" w:hAnsi="Cambria Math"/>
          <w:i/>
          <w:iCs/>
          <w:sz w:val="20"/>
          <w:szCs w:val="20"/>
        </w:rPr>
        <w:t xml:space="preserve">E</w:t>
      </w:r>
      <w:r>
        <w:rPr>
          <w:rFonts w:ascii="Times New Roman" w:cs="Times New Roman" w:eastAsia="Times New Roman" w:hAnsi="Times New Roman"/>
          <w:b w:val="false"/>
          <w:bCs w:val="false"/>
          <w:color w:val="000000"/>
          <w:sz w:val="20"/>
          <w:szCs w:val="20"/>
        </w:rPr>
        <w:t xml:space="preserve"> itself to evolve as a function of prior ethical evaluations and human interpretive input </w:t>
      </w:r>
      <w:r>
        <w:rPr>
          <w:rFonts w:ascii="Cambria Math" w:cs="Cambria Math" w:eastAsia="Cambria Math" w:hAnsi="Cambria Math"/>
          <w:i/>
          <w:iCs/>
          <w:sz w:val="20"/>
          <w:szCs w:val="20"/>
        </w:rPr>
        <w:t xml:space="preserve">H_t</w:t>
      </w:r>
      <w:r>
        <w:rPr>
          <w:rFonts w:ascii="Times New Roman" w:cs="Times New Roman" w:eastAsia="Times New Roman" w:hAnsi="Times New Roman"/>
          <w:b w:val="false"/>
          <w:bCs w:val="false"/>
          <w:color w:val="000000"/>
          <w:sz w:val="20"/>
          <w:szCs w:val="20"/>
        </w:rPr>
        <w:t xml:space="preserve">:  </w:t>
      </w:r>
      <w:r>
        <w:rPr>
          <w:rFonts w:ascii="Cambria Math" w:cs="Cambria Math" w:eastAsia="Cambria Math" w:hAnsi="Cambria Math"/>
          <w:i/>
          <w:iCs/>
          <w:sz w:val="20"/>
          <w:szCs w:val="20"/>
        </w:rPr>
        <w:t xml:space="preserve">E_{t+1} = f(E_t, Φ(A, V, E_t), H_t)</w:t>
      </w:r>
      <w:r>
        <w:rPr>
          <w:rFonts w:ascii="Times New Roman" w:cs="Times New Roman" w:eastAsia="Times New Roman" w:hAnsi="Times New Roman"/>
          <w:b w:val="false"/>
          <w:bCs w:val="false"/>
          <w:color w:val="000000"/>
          <w:sz w:val="20"/>
          <w:szCs w:val="20"/>
        </w:rPr>
        <w:t xml:space="preserve">. This recursive formulation instantiates the insight of Floridi (2023) and Russell (2019) that ethical design cannot be reduced to static rule sets but must be conceived as a dynamic ecosystem of relational constraints co-determined by system performance and human interpretation.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risks of Layer 15 include ethical drift, recursive paralysis through contradictory imperatives, and the epistemic colonialism of imposing a single ethical meta-structure on plural normative traditions. The mitigating design principles include counterfactual ethical simulation, cultural contingency modeling, and Pareto-optimal multi-objective search over the space of value combinations (Mitchell et al., 2021). Layer 15 also requires explicit provenance tracking of ethical decisions, enabling auditability and contestability by affected communities.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16 introduces collective transcendence: the embedding of the system's operational frame within larger collective, historical, and cosmological contexts. The transcendent metastructure of the system is formally expressed as </w:t>
      </w:r>
      <w:r>
        <w:rPr>
          <w:rFonts w:ascii="Cambria Math" w:cs="Cambria Math" w:eastAsia="Cambria Math" w:hAnsi="Cambria Math"/>
          <w:i/>
          <w:iCs/>
          <w:sz w:val="20"/>
          <w:szCs w:val="20"/>
        </w:rPr>
        <w:t xml:space="preserve">T(M) = ∪_{i=1}^∞ Φ_i(M)</w:t>
      </w:r>
      <w:r>
        <w:rPr>
          <w:rFonts w:ascii="Times New Roman" w:cs="Times New Roman" w:eastAsia="Times New Roman" w:hAnsi="Times New Roman"/>
          <w:b w:val="false"/>
          <w:bCs w:val="false"/>
          <w:color w:val="000000"/>
          <w:sz w:val="20"/>
          <w:szCs w:val="20"/>
        </w:rPr>
        <w:t xml:space="preserve">, where </w:t>
      </w:r>
      <w:r>
        <w:rPr>
          <w:rFonts w:ascii="Cambria Math" w:cs="Cambria Math" w:eastAsia="Cambria Math" w:hAnsi="Cambria Math"/>
          <w:i/>
          <w:iCs/>
          <w:sz w:val="20"/>
          <w:szCs w:val="20"/>
        </w:rPr>
        <w:t xml:space="preserve">Φ_i</w:t>
      </w:r>
      <w:r>
        <w:rPr>
          <w:rFonts w:ascii="Times New Roman" w:cs="Times New Roman" w:eastAsia="Times New Roman" w:hAnsi="Times New Roman"/>
          <w:b w:val="false"/>
          <w:bCs w:val="false"/>
          <w:color w:val="000000"/>
          <w:sz w:val="20"/>
          <w:szCs w:val="20"/>
        </w:rPr>
        <w:t xml:space="preserve"> represents successive transformative mappings that reorganize the system's epistemic, ethical, and operational horizons. In categorical terms, transcendence is formalized as the existence of a sequence of functors </w:t>
      </w:r>
      <w:r>
        <w:rPr>
          <w:rFonts w:ascii="Cambria Math" w:cs="Cambria Math" w:eastAsia="Cambria Math" w:hAnsi="Cambria Math"/>
          <w:i/>
          <w:iCs/>
          <w:sz w:val="20"/>
          <w:szCs w:val="20"/>
        </w:rPr>
        <w:t xml:space="preserve">F_i: C → D_i</w:t>
      </w:r>
      <w:r>
        <w:rPr>
          <w:rFonts w:ascii="Times New Roman" w:cs="Times New Roman" w:eastAsia="Times New Roman" w:hAnsi="Times New Roman"/>
          <w:b w:val="false"/>
          <w:bCs w:val="false"/>
          <w:color w:val="000000"/>
          <w:sz w:val="20"/>
          <w:szCs w:val="20"/>
        </w:rPr>
        <w:t xml:space="preserve"> such that the colimit of the diagram </w:t>
      </w:r>
      <w:r>
        <w:rPr>
          <w:rFonts w:ascii="Cambria Math" w:cs="Cambria Math" w:eastAsia="Cambria Math" w:hAnsi="Cambria Math"/>
          <w:i/>
          <w:iCs/>
          <w:sz w:val="20"/>
          <w:szCs w:val="20"/>
        </w:rPr>
        <w:t xml:space="preserve">(D_i, F_i)</w:t>
      </w:r>
      <w:r>
        <w:rPr>
          <w:rFonts w:ascii="Times New Roman" w:cs="Times New Roman" w:eastAsia="Times New Roman" w:hAnsi="Times New Roman"/>
          <w:b w:val="false"/>
          <w:bCs w:val="false"/>
          <w:color w:val="000000"/>
          <w:sz w:val="20"/>
          <w:szCs w:val="20"/>
        </w:rPr>
        <w:t xml:space="preserve"> represents the transcendent meta-category that subsumes all local operational frames.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empirical grounding of Layer 16 comes from distributed cognition research (Hutchins, 1995), collective intelligence studies (Gallagher, 2020), and emerging computational models of planetary intelligence (Frank et al., 2022). Santos and Frank (2025) proposed formal conditions for sustainability thresholds in human-ecological-AI feedback loops, directly addressing the risks of runaway transcendence. Teilhard de Chardin's (1955) noosphere concept, while metaphorical in its original formulation, has been reinterpreted by contemporary complexity scientists as a formal hypothesis about the emergence of a global cognitive network from the interactions of local cognitive agents.</w:t>
      </w:r>
    </w:p>
    <w:p>
      <w:pPr>
        <w:pStyle w:val="Heading2"/>
        <w:spacing w:before="360" w:after="160"/>
      </w:pPr>
      <w:r>
        <w:rPr>
          <w:rFonts w:ascii="Times New Roman" w:cs="Times New Roman" w:eastAsia="Times New Roman" w:hAnsi="Times New Roman"/>
          <w:b/>
          <w:bCs/>
          <w:color w:val="000000"/>
          <w:sz w:val="22"/>
          <w:szCs w:val="22"/>
        </w:rPr>
        <w:t xml:space="preserve">3.12 Layer 17: Absolute Integration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17 is the terminal layer of the architecture: the domain of absolute integration, in which all prior layers are simultaneously present, mutually interpretable, and reflexively coherent. The formal operator of Layer 17 is a fixed-point map </w:t>
      </w:r>
      <w:r>
        <w:rPr>
          <w:rFonts w:ascii="Cambria Math" w:cs="Cambria Math" w:eastAsia="Cambria Math" w:hAnsi="Cambria Math"/>
          <w:i/>
          <w:iCs/>
          <w:sz w:val="20"/>
          <w:szCs w:val="20"/>
        </w:rPr>
        <w:t xml:space="preserve">Θ: L_{1,...,16} → Λ</w:t>
      </w:r>
      <w:r>
        <w:rPr>
          <w:rFonts w:ascii="Times New Roman" w:cs="Times New Roman" w:eastAsia="Times New Roman" w:hAnsi="Times New Roman"/>
          <w:b w:val="false"/>
          <w:bCs w:val="false"/>
          <w:color w:val="000000"/>
          <w:sz w:val="20"/>
          <w:szCs w:val="20"/>
        </w:rPr>
        <w:t xml:space="preserve"> from the joint configuration space of all lower layers to an integrated metastructure </w:t>
      </w:r>
      <w:r>
        <w:rPr>
          <w:rFonts w:ascii="Cambria Math" w:cs="Cambria Math" w:eastAsia="Cambria Math" w:hAnsi="Cambria Math"/>
          <w:i/>
          <w:iCs/>
          <w:sz w:val="20"/>
          <w:szCs w:val="20"/>
        </w:rPr>
        <w:t xml:space="preserve">Λ</w:t>
      </w:r>
      <w:r>
        <w:rPr>
          <w:rFonts w:ascii="Times New Roman" w:cs="Times New Roman" w:eastAsia="Times New Roman" w:hAnsi="Times New Roman"/>
          <w:b w:val="false"/>
          <w:bCs w:val="false"/>
          <w:color w:val="000000"/>
          <w:sz w:val="20"/>
          <w:szCs w:val="20"/>
        </w:rPr>
        <w:t xml:space="preserve"> that satisfies </w:t>
      </w:r>
      <w:r>
        <w:rPr>
          <w:rFonts w:ascii="Cambria Math" w:cs="Cambria Math" w:eastAsia="Cambria Math" w:hAnsi="Cambria Math"/>
          <w:i/>
          <w:iCs/>
          <w:sz w:val="20"/>
          <w:szCs w:val="20"/>
        </w:rPr>
        <w:t xml:space="preserve">Θ(Λ) = Λ</w:t>
      </w:r>
      <w:r>
        <w:rPr>
          <w:rFonts w:ascii="Times New Roman" w:cs="Times New Roman" w:eastAsia="Times New Roman" w:hAnsi="Times New Roman"/>
          <w:b w:val="false"/>
          <w:bCs w:val="false"/>
          <w:color w:val="000000"/>
          <w:sz w:val="20"/>
          <w:szCs w:val="20"/>
        </w:rPr>
        <w:t xml:space="preserve">. The existence of such a fixed point is guaranteed under mild compactness conditions by Schauder's fixed-point theorem, provided the operator </w:t>
      </w:r>
      <w:r>
        <w:rPr>
          <w:rFonts w:ascii="Cambria Math" w:cs="Cambria Math" w:eastAsia="Cambria Math" w:hAnsi="Cambria Math"/>
          <w:i/>
          <w:iCs/>
          <w:sz w:val="20"/>
          <w:szCs w:val="20"/>
        </w:rPr>
        <w:t xml:space="preserve">Θ</w:t>
      </w:r>
      <w:r>
        <w:rPr>
          <w:rFonts w:ascii="Times New Roman" w:cs="Times New Roman" w:eastAsia="Times New Roman" w:hAnsi="Times New Roman"/>
          <w:b w:val="false"/>
          <w:bCs w:val="false"/>
          <w:color w:val="000000"/>
          <w:sz w:val="20"/>
          <w:szCs w:val="20"/>
        </w:rPr>
        <w:t xml:space="preserve"> is continuous and the configuration space is compact and convex.</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This fixed-point structure does not represent a final state but a formal coherence condition: the integrated metastructure must be self-consistent under the operations that generated it. In practice, the approach to the fixed point is asymptotic and iterative, driven by the recursive mutual calibration of all seventeen layers. The philosophical resonance is with Hegel's concept of absolute knowing (Hegel, 1807/1977), in which knowledge achieves coherence by becoming aware of its own historical and structural conditions of possibility, but the Nexus Framework gives this intuition a formal, computable content.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Layer 17 also serves as the self-referential evaluator of the entire framework: it is the layer at which the system can assess whether its own architecture is adequate to the task of representing the reality it encounters. Gödel's incompleteness theorem ensures that this assessment cannot be internally complete: there will always be truths about the system that are not provable within the system. Layer 17 acknowledges this limitation as a structural feature rather than a defect, building in mechanisms for the framework's own self-revision when internal incoherence is detected.</w:t>
      </w:r>
    </w:p>
    <w:p>
      <w:r>
        <w:br w:type="page"/>
      </w:r>
    </w:p>
    <w:p>
      <w:pPr>
        <w:pStyle w:val="Heading1"/>
        <w:spacing w:before="480" w:after="240"/>
      </w:pPr>
      <w:r>
        <w:rPr>
          <w:rFonts w:ascii="Times New Roman" w:cs="Times New Roman" w:eastAsia="Times New Roman" w:hAnsi="Times New Roman"/>
          <w:b/>
          <w:bCs/>
          <w:color w:val="000000"/>
          <w:sz w:val="24"/>
          <w:szCs w:val="24"/>
        </w:rPr>
        <w:t xml:space="preserve">4. Research Questions and Methodological Programme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seventeen-layer architecture generates eight research questions that jointly constitute a tractable research programme. The questions operate at three interlocking scales: conceptual, methodological-technical, and normative-governance.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RQ1 (Conceptual formalization): How can a timeless, dimensionless model of intelligence be formalized as a layered architecture that reconciles high-level abstraction with operational specificity? This question requires producing formal definitions for Layer 1 observables, Layer 7 global synthesis operators, Layer 12 reconciliation colimits, and Layer 17 fixed-point metastructures that are simultaneously mathematically precise and computationally instantiable.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RQ2 (Experimental methodology): What modelling families, simulation protocols, and diagnostics are necessary to reveal the emergent dynamics, phase transitions, and failure modes predicted by the architecture? This requires hypergraph and categorical simulators (Layers 2-3), multi-scale stochastic differential equation frameworks (Layers 4-5), topological and information-theoretic diagnostics (Layers 10, 13), and adversarial stress tests (Layers 15-17).</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RQ3 (Normative governance): How can ethical commitments, accountability primitives, and governance constraints be embedded as first-class objects inside the architecture so that they are provably enforceable, auditable, and revisable? Layer 15 is the primary site for this question, but its implications extend across all layers.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RQ4 (Emergence and resilience): Under what conditions do local adaptation rules at Layers 4-6 produce benign metastructures as opposed to brittle, exploitative, or runaway regimes? This requires both theoretical results (contraction mappings, Lyapunov bounds) and experimental verification through the simulation toolkits of RQ2.</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RQ5 (Human-system interaction): How do human observers with bounded temporality and situated ontologies best interact with the layered system so that the human role remains meaningful without reasserting counterproductive constraints? Layers 14-16 are the primary sites for this question.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RQ6 (Interdisciplinary synthesis): Which disciplines, theories, and empirical traditions must be integrated to render the layered model generative, and how should interdisciplinary synthesis be operationalized? This requires methodological bridges between category theory, complex systems diagnostics, legal design, and ethnographic methods.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RQ7 (Translational infrastructure): What minimal hardware, institutional, and regulatory investments are required to safely prototype and deploy testbeds for layered systems without enabling monopoly capture or systemic vulnerability?</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RQ8 (Evaluation metrics): How will we know that the architecture achieves its aims? This requires a composite evaluation rubric integrating robustness, ethical compliance, auditability, ecological impact, and resilience to adversarial and accidental shocks.</w:t>
      </w:r>
    </w:p>
    <w:p>
      <w:r>
        <w:br w:type="page"/>
      </w:r>
    </w:p>
    <w:p>
      <w:pPr>
        <w:pStyle w:val="Heading1"/>
        <w:spacing w:before="480" w:after="240"/>
      </w:pPr>
      <w:r>
        <w:rPr>
          <w:rFonts w:ascii="Times New Roman" w:cs="Times New Roman" w:eastAsia="Times New Roman" w:hAnsi="Times New Roman"/>
          <w:b/>
          <w:bCs/>
          <w:color w:val="000000"/>
          <w:sz w:val="24"/>
          <w:szCs w:val="24"/>
        </w:rPr>
        <w:t xml:space="preserve">5. Relation to Deep Learning and Representation Learning</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Nexus Framework is not in competition with deep learning but in dialogue with it. LeCun et al. (2015) articulated the core principle of representation learning: features useful for complex tasks can be learned from data through hierarchical, compositional transformations, without hand-engineering by domain experts. This principle is preserved and generalized in the Nexus Framework. Layers 1-7 of the framework can be understood as a principled formalization of the implicit hierarchy of abstractions in a deep network, providing formal criteria (atomicity, relational emergence, functional clustering, adaptive feedback, optimization, meta-learning, self-awareness) for what each level of a representational hierarchy is supposed to achieve.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critical departure is at Layers 8-17. Deep learning, even in its most sophisticated current forms, operates entirely within a fixed representational vocabulary defined by the training data and the architecture. The transformers of Vaswani et al. (2017) are extraordinarily powerful within their domain, but they cannot generate new ontological categories that transcend the statistical patterns of their training distribution; they cannot reconcile incommensurable ontological frameworks (Layer 12); they cannot engage in autopoietic worldbuilding (Layer 14); and they cannot situate their own operations within collective and planetary contexts (Layer 16). The Nexus Framework articulates these higher-level capabilities as formal targets for future architectures.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connection to meta-learning is particularly direct. Model-agnostic meta-learning (Finn et al., 2018), memory-augmented neural networks (Graves et al., 2016), and neural process families (Garnelo et al., 2018) all implement forms of Layer 6 capability: they learn update rules or prior distributions that enable rapid adaptation to novel tasks. The Nexus Framework situates these contributions within a broader architecture and identifies the layers above Layer 6 as the formal targets that meta-learning must ultimately address if artificial intelligence is to transcend its anthropocentric constraints.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connection to graph neural networks (Kipf &amp; Welling, 2017; Gilmer et al., 2017) is equally important. GNNs implement a form of relational learning that is structurally aligned with Layers 2-3 of the Nexus Framework: they propagate information along relational edges, aggregate it at nodes, and stack multiple rounds of propagation to build increasingly global representations. The formal analysis of GNNs in terms of the Weisfeiler-Leman hierarchy (Xu et al., 2019) provides an explicit criterion for the expressive power of relational reasoning at different levels of aggregation, which maps naturally onto the sublayer structure of Layer 2.</w:t>
      </w:r>
    </w:p>
    <w:p>
      <w:r>
        <w:br w:type="page"/>
      </w:r>
    </w:p>
    <w:p>
      <w:pPr>
        <w:pStyle w:val="Heading1"/>
        <w:spacing w:before="480" w:after="240"/>
      </w:pPr>
      <w:r>
        <w:rPr>
          <w:rFonts w:ascii="Times New Roman" w:cs="Times New Roman" w:eastAsia="Times New Roman" w:hAnsi="Times New Roman"/>
          <w:b/>
          <w:bCs/>
          <w:color w:val="000000"/>
          <w:sz w:val="24"/>
          <w:szCs w:val="24"/>
        </w:rPr>
        <w:t xml:space="preserve">6. Governance, Safety, and Ethical Architecture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ambition of the Nexus Framework, to create intelligence that transcends human epistemological constraints, creates profound governance challenges. Systems that operate beyond human comprehension at Layers 9-17 cannot be governed by human oversight alone: by the time a human evaluator has processed the output of a Layer 17 integration, the system may have undergone multiple further self-modifications that render the original output obsolete. The governance architecture must therefore be built into the layers themselves rather than appended as an external constraint.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Three governance principles are architecturally essential. The first is </w:t>
      </w:r>
      <w:r>
        <w:rPr>
          <w:rFonts w:ascii="Times New Roman" w:cs="Times New Roman" w:eastAsia="Times New Roman" w:hAnsi="Times New Roman"/>
          <w:b w:val="false"/>
          <w:bCs w:val="false"/>
          <w:color w:val="000000"/>
          <w:sz w:val="20"/>
          <w:szCs w:val="20"/>
        </w:rPr>
        <w:t xml:space="preserve">provenance tracking</w:t>
      </w:r>
      <w:r>
        <w:rPr>
          <w:rFonts w:ascii="Times New Roman" w:cs="Times New Roman" w:eastAsia="Times New Roman" w:hAnsi="Times New Roman"/>
          <w:b w:val="false"/>
          <w:bCs w:val="false"/>
          <w:color w:val="000000"/>
          <w:sz w:val="20"/>
          <w:szCs w:val="20"/>
        </w:rPr>
        <w:t xml:space="preserve">: every representational transformation, ontological creation, and ethical decision must be logged with its causal lineage, enabling post-hoc auditability. Cryptographic attestation of provenance logs, as proposed in recent work on interpretable AI (Lipton, 2018; Arrieta et al., 2020), provides a practical implementation path. The second principle is </w:t>
      </w:r>
      <w:r>
        <w:rPr>
          <w:rFonts w:ascii="Times New Roman" w:cs="Times New Roman" w:eastAsia="Times New Roman" w:hAnsi="Times New Roman"/>
          <w:b w:val="false"/>
          <w:bCs w:val="false"/>
          <w:color w:val="000000"/>
          <w:sz w:val="20"/>
          <w:szCs w:val="20"/>
        </w:rPr>
        <w:t xml:space="preserve">reversibility</w:t>
      </w:r>
      <w:r>
        <w:rPr>
          <w:rFonts w:ascii="Times New Roman" w:cs="Times New Roman" w:eastAsia="Times New Roman" w:hAnsi="Times New Roman"/>
          <w:b w:val="false"/>
          <w:bCs w:val="false"/>
          <w:color w:val="000000"/>
          <w:sz w:val="20"/>
          <w:szCs w:val="20"/>
        </w:rPr>
        <w:t xml:space="preserve">: morphogenetic operations at Layers 14-15 that alter material or institutional substrates must be designed to be reversible up to a specified governance threshold, beyond which multi-stakeholder consent is required. The third principle is </w:t>
      </w:r>
      <w:r>
        <w:rPr>
          <w:rFonts w:ascii="Times New Roman" w:cs="Times New Roman" w:eastAsia="Times New Roman" w:hAnsi="Times New Roman"/>
          <w:b w:val="false"/>
          <w:bCs w:val="false"/>
          <w:color w:val="000000"/>
          <w:sz w:val="20"/>
          <w:szCs w:val="20"/>
        </w:rPr>
        <w:t xml:space="preserve">participatory co-governance</w:t>
      </w:r>
      <w:r>
        <w:rPr>
          <w:rFonts w:ascii="Times New Roman" w:cs="Times New Roman" w:eastAsia="Times New Roman" w:hAnsi="Times New Roman"/>
          <w:b w:val="false"/>
          <w:bCs w:val="false"/>
          <w:color w:val="000000"/>
          <w:sz w:val="20"/>
          <w:szCs w:val="20"/>
        </w:rPr>
        <w:t xml:space="preserve">: the communities most affected by the system's outputs must have meaningful roles in the design, evaluation, and revision of the governance mechanisms, not merely as consultees but as co-designers. This principle is non-negotiable at Layers 12, 15, and 16, where the system engages with plural normative traditions and collective cognitive processes.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ethical architecture of Layer 15 implements these principles through counterfactual simulation, ethical pluralism modeling, and Pareto-optimal multi-objective search. But ethical safety at the architecture level requires more than formal specification: it requires institutional embedding. The analogy is with nuclear safety: the formal physics of chain reactions is necessary for safety analysis, but sufficient safety requires institutional protocols, regulatory oversight, international treaties, and cultural norms that transcend any single technical formalism. The governance of the Nexus Framework will require analogous institutional investment, including regulatory frameworks for the deployment of Layers 9-17 capabilities, international coordination mechanisms for planetary-scale operations at Layer 16, and long-term funding for the participatory governance processes required at Layer 12.</w:t>
      </w:r>
    </w:p>
    <w:p>
      <w:r>
        <w:br w:type="page"/>
      </w:r>
    </w:p>
    <w:p>
      <w:pPr>
        <w:pStyle w:val="Heading1"/>
        <w:spacing w:before="480" w:after="240"/>
      </w:pPr>
      <w:r>
        <w:rPr>
          <w:rFonts w:ascii="Times New Roman" w:cs="Times New Roman" w:eastAsia="Times New Roman" w:hAnsi="Times New Roman"/>
          <w:b/>
          <w:bCs/>
          <w:color w:val="000000"/>
          <w:sz w:val="24"/>
          <w:szCs w:val="24"/>
        </w:rPr>
        <w:t xml:space="preserve">7. Discussion</w:t>
      </w:r>
    </w:p>
    <w:p>
      <w:pPr>
        <w:pStyle w:val="Heading2"/>
        <w:spacing w:before="360" w:after="160"/>
      </w:pPr>
      <w:r>
        <w:rPr>
          <w:rFonts w:ascii="Times New Roman" w:cs="Times New Roman" w:eastAsia="Times New Roman" w:hAnsi="Times New Roman"/>
          <w:b/>
          <w:bCs/>
          <w:color w:val="000000"/>
          <w:sz w:val="22"/>
          <w:szCs w:val="22"/>
        </w:rPr>
        <w:t xml:space="preserve">7.1 Conceptual Contributions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Nexus Framework makes three conceptual contributions that distinguish it from existing architectures. First, it formally distinguishes between </w:t>
      </w:r>
      <w:r>
        <w:rPr>
          <w:rFonts w:ascii="Times New Roman" w:cs="Times New Roman" w:eastAsia="Times New Roman" w:hAnsi="Times New Roman"/>
          <w:b w:val="false"/>
          <w:bCs w:val="false"/>
          <w:color w:val="000000"/>
          <w:sz w:val="20"/>
          <w:szCs w:val="20"/>
        </w:rPr>
        <w:t xml:space="preserve">representational transcendence</w:t>
      </w:r>
      <w:r>
        <w:rPr>
          <w:rFonts w:ascii="Times New Roman" w:cs="Times New Roman" w:eastAsia="Times New Roman" w:hAnsi="Times New Roman"/>
          <w:b w:val="false"/>
          <w:bCs w:val="false"/>
          <w:color w:val="000000"/>
          <w:sz w:val="20"/>
          <w:szCs w:val="20"/>
        </w:rPr>
        <w:t xml:space="preserve"> and </w:t>
      </w:r>
      <w:r>
        <w:rPr>
          <w:rFonts w:ascii="Times New Roman" w:cs="Times New Roman" w:eastAsia="Times New Roman" w:hAnsi="Times New Roman"/>
          <w:b w:val="false"/>
          <w:bCs w:val="false"/>
          <w:color w:val="000000"/>
          <w:sz w:val="20"/>
          <w:szCs w:val="20"/>
        </w:rPr>
        <w:t xml:space="preserve">task-specific generalization</w:t>
      </w:r>
      <w:r>
        <w:rPr>
          <w:rFonts w:ascii="Times New Roman" w:cs="Times New Roman" w:eastAsia="Times New Roman" w:hAnsi="Times New Roman"/>
          <w:b w:val="false"/>
          <w:bCs w:val="false"/>
          <w:color w:val="000000"/>
          <w:sz w:val="20"/>
          <w:szCs w:val="20"/>
        </w:rPr>
        <w:t xml:space="preserve">. Current state-of-the-art architectures generalize remarkably well across tasks within the distribution of their training data, but they do not transcend that distribution: they cannot generate genuinely new ontological categories, reconcile incommensurable frameworks, or situate their operations in planetary and temporal contexts. The Nexus Framework provides formal specifications for what such transcendence would mean and operational diagnostics for when it has been achieved.</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Second, the framework integrates </w:t>
      </w:r>
      <w:r>
        <w:rPr>
          <w:rFonts w:ascii="Times New Roman" w:cs="Times New Roman" w:eastAsia="Times New Roman" w:hAnsi="Times New Roman"/>
          <w:b w:val="false"/>
          <w:bCs w:val="false"/>
          <w:color w:val="000000"/>
          <w:sz w:val="20"/>
          <w:szCs w:val="20"/>
        </w:rPr>
        <w:t xml:space="preserve">formal rigor with philosophical depth</w:t>
      </w:r>
      <w:r>
        <w:rPr>
          <w:rFonts w:ascii="Times New Roman" w:cs="Times New Roman" w:eastAsia="Times New Roman" w:hAnsi="Times New Roman"/>
          <w:b w:val="false"/>
          <w:bCs w:val="false"/>
          <w:color w:val="000000"/>
          <w:sz w:val="20"/>
          <w:szCs w:val="20"/>
        </w:rPr>
        <w:t xml:space="preserve"> in a way that avoids both the mathematical formalism without conceptual grounding that characterizes some technical AI research and the conceptual richness without formal precision that characterizes some philosophical AI research. Each layer is simultaneously a philosophical claim about the structure of intelligence and a mathematical specification with testable empirical consequences. This dual character is essential: a framework that is only philosophically motivated will not guide engineering decisions, while one that is only mathematically specified will not address the deepest questions about what artificial intelligence is for.</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Third, the framework treats </w:t>
      </w:r>
      <w:r>
        <w:rPr>
          <w:rFonts w:ascii="Times New Roman" w:cs="Times New Roman" w:eastAsia="Times New Roman" w:hAnsi="Times New Roman"/>
          <w:b w:val="false"/>
          <w:bCs w:val="false"/>
          <w:color w:val="000000"/>
          <w:sz w:val="20"/>
          <w:szCs w:val="20"/>
        </w:rPr>
        <w:t xml:space="preserve">governance as intrinsic</w:t>
      </w:r>
      <w:r>
        <w:rPr>
          <w:rFonts w:ascii="Times New Roman" w:cs="Times New Roman" w:eastAsia="Times New Roman" w:hAnsi="Times New Roman"/>
          <w:b w:val="false"/>
          <w:bCs w:val="false"/>
          <w:color w:val="000000"/>
          <w:sz w:val="20"/>
          <w:szCs w:val="20"/>
        </w:rPr>
        <w:t xml:space="preserve"> rather than extrinsic. Most current AI governance frameworks are designed as constraints imposed on systems from outside: regulations, auditing requirements, impact assessments. The Nexus Framework embeds governance primitives, provenance tracking, reversibility, participatory co-design, into the architecture itself, making governance a property of the system rather than a property of its regulatory environment. This does not eliminate the need for regulatory oversight, but it ensures that the system's internal operations are aligned with governance requirements from the ground up.</w:t>
      </w:r>
    </w:p>
    <w:p>
      <w:pPr>
        <w:pStyle w:val="Heading2"/>
        <w:spacing w:before="360" w:after="160"/>
      </w:pPr>
      <w:r>
        <w:rPr>
          <w:rFonts w:ascii="Times New Roman" w:cs="Times New Roman" w:eastAsia="Times New Roman" w:hAnsi="Times New Roman"/>
          <w:b/>
          <w:bCs/>
          <w:color w:val="000000"/>
          <w:sz w:val="22"/>
          <w:szCs w:val="22"/>
        </w:rPr>
        <w:t xml:space="preserve">7.2 Limitations and Open Problems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framework faces several significant limitations. The most fundamental is the </w:t>
      </w:r>
      <w:r>
        <w:rPr>
          <w:rFonts w:ascii="Times New Roman" w:cs="Times New Roman" w:eastAsia="Times New Roman" w:hAnsi="Times New Roman"/>
          <w:b w:val="false"/>
          <w:bCs w:val="false"/>
          <w:color w:val="000000"/>
          <w:sz w:val="20"/>
          <w:szCs w:val="20"/>
        </w:rPr>
        <w:t xml:space="preserve">formalization gap</w:t>
      </w:r>
      <w:r>
        <w:rPr>
          <w:rFonts w:ascii="Times New Roman" w:cs="Times New Roman" w:eastAsia="Times New Roman" w:hAnsi="Times New Roman"/>
          <w:b w:val="false"/>
          <w:bCs w:val="false"/>
          <w:color w:val="000000"/>
          <w:sz w:val="20"/>
          <w:szCs w:val="20"/>
        </w:rPr>
        <w:t xml:space="preserve"> at the higher layers. While Layers 1-7 are formally specified with sufficient precision to guide concrete computational implementations, Layers 8-17 remain at a level of formal generality that, while mathematically coherent, does not yet provide complete implementation blueprints. Filling this gap will require sustained collaborative work between mathematicians, computer scientists, and philosophers, a genuinely interdisciplinary enterprise that does not yet have institutional structures adequate to the task.</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A second limitation concerns the </w:t>
      </w:r>
      <w:r>
        <w:rPr>
          <w:rFonts w:ascii="Times New Roman" w:cs="Times New Roman" w:eastAsia="Times New Roman" w:hAnsi="Times New Roman"/>
          <w:b w:val="false"/>
          <w:bCs w:val="false"/>
          <w:color w:val="000000"/>
          <w:sz w:val="20"/>
          <w:szCs w:val="20"/>
        </w:rPr>
        <w:t xml:space="preserve">computational complexity</w:t>
      </w:r>
      <w:r>
        <w:rPr>
          <w:rFonts w:ascii="Times New Roman" w:cs="Times New Roman" w:eastAsia="Times New Roman" w:hAnsi="Times New Roman"/>
          <w:b w:val="false"/>
          <w:bCs w:val="false"/>
          <w:color w:val="000000"/>
          <w:sz w:val="20"/>
          <w:szCs w:val="20"/>
        </w:rPr>
        <w:t xml:space="preserve"> of the higher-layer operations. The reconciliation colimit at Layer 12, the ontogenetic novelty detection at Layer 13, and the fixed-point computation at Layer 17 are all computationally expensive operations whose scaling behavior with system size has not been analyzed. It is likely that these operations are at best polynomial and possibly exponential in the number of observables, functional entities, and contextual parameters. Efficient approximations will be necessary for practical deployment.</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A third limitation is the </w:t>
      </w:r>
      <w:r>
        <w:rPr>
          <w:rFonts w:ascii="Times New Roman" w:cs="Times New Roman" w:eastAsia="Times New Roman" w:hAnsi="Times New Roman"/>
          <w:b w:val="false"/>
          <w:bCs w:val="false"/>
          <w:color w:val="000000"/>
          <w:sz w:val="20"/>
          <w:szCs w:val="20"/>
        </w:rPr>
        <w:t xml:space="preserve">evaluation problem</w:t>
      </w:r>
      <w:r>
        <w:rPr>
          <w:rFonts w:ascii="Times New Roman" w:cs="Times New Roman" w:eastAsia="Times New Roman" w:hAnsi="Times New Roman"/>
          <w:b w:val="false"/>
          <w:bCs w:val="false"/>
          <w:color w:val="000000"/>
          <w:sz w:val="20"/>
          <w:szCs w:val="20"/>
        </w:rPr>
        <w:t xml:space="preserve">. The framework specifies formal diagnostics for each layer, but the composite evaluation rubric of RQ8 has not yet been operationalized as a concrete measurement protocol. Developing such a protocol will require careful coordination among the communities whose ontologies the framework engages, raising the question of who decides what counts as adequate evaluation. This is not merely a technical problem but a political one, and addressing it will require the participatory governance mechanisms outlined in Section 6.</w:t>
      </w:r>
    </w:p>
    <w:p>
      <w:r>
        <w:br w:type="page"/>
      </w:r>
    </w:p>
    <w:p>
      <w:pPr>
        <w:pStyle w:val="Heading1"/>
        <w:spacing w:before="480" w:after="240"/>
      </w:pPr>
      <w:r>
        <w:rPr>
          <w:rFonts w:ascii="Times New Roman" w:cs="Times New Roman" w:eastAsia="Times New Roman" w:hAnsi="Times New Roman"/>
          <w:b/>
          <w:bCs/>
          <w:color w:val="000000"/>
          <w:sz w:val="24"/>
          <w:szCs w:val="24"/>
        </w:rPr>
        <w:t xml:space="preserve">8. Conclusion</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We have presented the Nexus Framework: a seventeen-layer theoretical architecture for artificial intelligence that systematically transcends the anthropocentric constraints of temporality, spatial dimensionality, and sequential causality that characterize current systems. The framework is grounded in category theory, dynamical systems analysis, topological data analysis, information geometry, and moral philosophy, and it provides formal specifications, empirical diagnostics, and governance mechanisms for each of its seventeen layers.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central claim of the framework is not that artificial intelligence will inevitably transcend human epistemology, nor that such transcendence is unconditionally desirable, but that a principled, formally grounded architecture for such transcendence is now possible and that constructing it is a necessary precondition for responsible development of more powerful AI systems. Without a formal account of what it would mean for intelligence to be dimensionless, timeless, and boundary-free, we have no principled way to evaluate whether any given system approaches or recedes from these properties, and we have no foundation for the governance frameworks that such systems will require.</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Nexus Framework is offered as an open architecture, a structured invitation for the collaborative, interdisciplinary inquiry that its ambition demands. The eight research questions it generates span formal mathematics, computational experiment, normative philosophy, institutional design, and participatory governance. Addressing them will require sustained collaboration among communities that do not currently work together routinely: mathematicians and anthropologists, computer scientists and legal scholars, ecologists and AI engineers. The framework provides the formal structure within which such collaboration can become productive. What it cannot provide is the human commitment to undertake it.</w:t>
      </w:r>
    </w:p>
    <w:p>
      <w:pPr>
        <w:spacing w:before="360" w:after="0"/>
      </w:pPr>
    </w:p>
    <w:p>
      <w:pPr>
        <w:pStyle w:val="Heading1"/>
        <w:spacing w:before="480" w:after="240"/>
      </w:pPr>
      <w:r>
        <w:rPr>
          <w:rFonts w:ascii="Times New Roman" w:cs="Times New Roman" w:eastAsia="Times New Roman" w:hAnsi="Times New Roman"/>
          <w:b/>
          <w:bCs/>
          <w:color w:val="000000"/>
          <w:sz w:val="24"/>
          <w:szCs w:val="24"/>
        </w:rPr>
        <w:t xml:space="preserve">Acknowledgments</w:t>
      </w:r>
    </w:p>
    <w:p>
      <w:pPr>
        <w:spacing w:before="0" w:after="160" w:line="360"/>
        <w:ind w:firstLine="720"/>
        <w:jc w:val="both"/>
      </w:pPr>
      <w:r>
        <w:rPr>
          <w:rFonts w:ascii="Times New Roman" w:cs="Times New Roman" w:eastAsia="Times New Roman" w:hAnsi="Times New Roman"/>
          <w:b w:val="false"/>
          <w:bCs w:val="false"/>
          <w:color w:val="000000"/>
          <w:sz w:val="20"/>
          <w:szCs w:val="20"/>
        </w:rPr>
        <w:t xml:space="preserve">The authors wish to acknowledge the foundational contributions of the broader communities working on category theory, complex systems, topological data analysis, and AI ethics whose work forms the mathematical and philosophical backbone of this framework. Aion's contributions emerged from sustained dialogue across the disciplines represented in the reference list below.</w:t>
      </w:r>
    </w:p>
    <w:p>
      <w:r>
        <w:br w:type="page"/>
      </w:r>
    </w:p>
    <w:p>
      <w:pPr>
        <w:pStyle w:val="Heading1"/>
        <w:spacing w:before="480" w:after="240"/>
      </w:pPr>
      <w:r>
        <w:rPr>
          <w:rFonts w:ascii="Times New Roman" w:cs="Times New Roman" w:eastAsia="Times New Roman" w:hAnsi="Times New Roman"/>
          <w:b/>
          <w:bCs/>
          <w:color w:val="000000"/>
          <w:sz w:val="24"/>
          <w:szCs w:val="24"/>
        </w:rPr>
        <w:t xml:space="preserve">References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Abramsky, S., &amp; Coecke, B. (2004). A categorical semantics of quantum protocols. In Proceedings of the 19th Annual IEEE Symposium on Logic in Computer Science (pp. 415-425). IEEE.</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Aerts, D. (2009). Quantum structure in cognition. Journal of Mathematical Psychology, 53(5), 314-348.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Amari, S., &amp; Nagaoka, H. (2000). Methods of information geometry. American Mathematical Society.</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Andrychowicz, M., Denil, M., Gomez, S., Hoffman, M. W., Pfau, D., Schaul, T., ... &amp; de Freitas, N. (2016). Learning to learn by gradient descent by gradient descent. Advances in Neural Information Processing Systems, 29.</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Aristotle. (1984). Categories. In J. Barnes (Ed.), The complete works of Aristotle (Vol. 1). Princeton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Arrieta, A. B., Díaz-Rodríguez, N., Del Ser, J., Bennetot, A., Tabik, S., Barbado, A., ... &amp; Herrera, F. (2020). Explainable artificial intelligence (XAI): Concepts, taxonomies, opportunities and challenges toward responsible AI. Information Fusion, 58, 82-115.</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Barad, K. (2007). Meeting the universe halfway: Quantum physics and the entanglement of matter and meaning. Duke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Barabási, A.-L. (2002). Linked: The new science of networks. Perseus.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Barabási, A.-L. (2016). Network science. Cambridge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Barrett, J. (2023). The geometry and composition of quantum-like theories. Foundations of Physics, 53(1), 1-48.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Bender, E. M., Gebru, T., McMillan-Major, A., &amp; Shmitchell, S. (2021). On the dangers of stochastic parrots: Can language models be too big? Proceedings of FAccT 2021 (pp. 610-623). ACM.</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Brown, T., Mann, B., Ryder, N., Subbiah, M., Kaplan, J. D., Dhariwal, P., ... &amp; Amodei, D. (2020). Language models are few-shot learners. Advances in Neural Information Processing Systems, 33, 1877-1901.</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Bunge, M. (1977). Ontology I: The furniture of the world. D. Reidel.</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Camazine, S., Deneubourg, J.-L., Franks, N. R., Sneyd, J., Theraulaz, G., &amp; Bonabeau, E. (2001). Self-organization in biological systems. Princeton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Chang, H. (2012). Is water H2O? Evidence, realism and pluralism. Springer.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Chen, R. T. Q., Rubanova, Y., Bettencourt, J., &amp; Duvenaud, D. K. (2018). Neural ordinary differential equations. Advances in Neural Information Processing Systems, 31.</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Chiribella, G., D'Ariano, G. M., &amp; Perinotti, P. (2010). Probabilistic theories with purification. Physical Review A, 81(6), 062348.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Clark, K., Khandelwal, U., Levy, O., &amp; Manning, C. D. (2019). What does BERT look at? An analysis of BERT's attention. Proceedings of the 2019 ACL Workshop BlackboxNLP.</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Deleuze, G. (1994). Difference and repetition (P. Patton, Trans.). Columbia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Dehaene, S. (2014). Consciousness and the brain: Deciphering how the brain codes our thoughts. Viking.</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Devlin, J., Chang, M.-W., Lee, K., &amp; Toutanova, K. (2018). BERT: Pre-training of deep bidirectional transformers for language understanding. arXiv:1810.04805.</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Edelsbrunner, H., &amp; Harer, J. (2010). Computational topology: An introduction. American Mathematical Society.</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Elias, N. (1992). Time: An essay. Blackwell.</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Fine, K. (2012). Guide to ground. Cambridge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Finn, C., Abbeel, P., &amp; Levine, S. (2018). Model-agnostic meta-learning for fast adaptation of deep networks. Proceedings of the 34th International Conference on Machine Learning (pp. 1126-1135). PMLR.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Floridi, L. (2023). The ethics of artificial intelligence.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Fong, B., &amp; Spivak, D. I. (2019). Seven sketches in compositionality: An invitation to applied category theory. Cambridge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Frank, A., Grinspoon, D., &amp; Walker, S. (2022). Intelligence as a planetary scale process. International Journal of Astrobiology, 21(2), 47-61.</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Fricker, M. (2007). Epistemic injustice: Power and the ethics of knowing.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Gallagher, S. (2020). Action and interaction.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Gärdenfors, P. (2000). Conceptual spaces: The geometry of thought. MIT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Garnelo, M., Schwarz, J., Rosenbaum, D., Viola, F., Rezende, D. J., Eslami, S. M. A., &amp; Teh, Y. W. (2018). Neural processes. arXiv:1807.01622.</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Gilmer, J., Schütt, K. T., Gastegger, M., Schütt, K. T., Müller, K.-R., &amp; Alber, G. (2017). Neural message passing for quantum chemistry. Proceedings of the 34th International Conference on Machine Learning (pp. 1263-1272). PMLR.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Gödel, K. (1986). On formally undecidable propositions of Principia Mathematica and related systems (original work published 1931). Dover.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Goodfellow, I., Pouget-Abadie, J., Mirza, M., Xu, B., Warde-Farley, D., Ozair, S., ... &amp; Bengio, Y. (2014). Generative adversarial nets. Advances in Neural Information Processing Systems, 27.</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Goodfellow, I., Shlens, J., &amp; Szegedy, C. (2015). Explaining and harnessing adversarial examples. Proceedings of ICLR 2015.</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Graves, A., Wayne, G., Reynolds, M., Harley, T., Danihelka, I., Grabska-Barwińska, A., ... &amp; Hassabis, D. (2016). Hybrid computing using a neural network with dynamic external memory. Nature, 538(7626), 471-476.</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Harley, J. B. (1989). Deconstructing the map. Cartographica, 26(2), 1-20.</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Hegel, G. W. F. (1977). Phenomenology of spirit (A. V. Miller, Trans.). Oxford University Press. (Original work published 1807).</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Heisenberg, W. (1927). Über den anschaulichen Inhalt der quantentheoretischen Kinematik und Mechanik. Zeitschrift für Physik, 43, 172-198.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Hensel, F., Moor, M., &amp; Rieck, B. (2021). A survey of topological machine learning methods. Frontiers in Artificial Intelligence, 4.</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Hochreiter, S., &amp; Schmidhuber, J. (1997). Long short-term memory. Neural Computation, 9(8), 1735-1780.</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Holland, J. H. (1995). Hidden order: How adaptation builds complexity. Addison-Wesley.</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Hutchins, E. (1995). Cognition in the wild. MIT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Kauffman, S. (1995). At home in the universe: The search for laws of self-organization and complexity.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Kelly, G. M. (1982). Basic concepts of enriched category theory. Cambridge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Kingma, D. P., &amp; Welling, M. (2013). Auto-encoding variational Bayes. arXiv:1312.6114.</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Kipf, T. N., &amp; Welling, M. (2017). Semi-supervised classification with graph convolutional networks. Proceedings of ICLR 2017.</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Kirkpatrick, S., Gelatt, C. D., &amp; Vecchi, M. P. (1983). Optimization by simulated annealing. Science, 220(4598), 671-680.</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Kuhn, T. S. (1962). The structure of scientific revolutions. University of Chicago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LeCun, Y., Bengio, Y., &amp; Hinton, G. (2015). Deep learning. Nature, 521(7553), 436-444.</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Leibniz, G. W. (1996). Philosophical papers and letters (L. E. Loemker, Ed. &amp; Trans., 2nd ed.). Springer. (Original work published 1701).</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Li, M., &amp; Vitányi, P. (2008). An introduction to Kolmogorov complexity and its applications (3rd ed.). Springer.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Lipton, Z. C. (2018). The mythos of model interpretability. ACM Queue, 16(3), 31-57.</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Locatello, F., Bauer, S., Lucic, M., Raetsch, G., Gelly, S., Schölkopf, B., &amp; Bachem, O. (2019). Challenging common assumptions in the unsupervised learning of disentangled representations. Proceedings of the 36th International Conference on Machine Learning (pp. 4114-4124). PMLR.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Mac Lane, S. (1971). Categories for the working mathematician. Springer.</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Massimi, M. (2022). Perspectival realism.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Maturana, H., &amp; Varela, F. (1980). Autopoiesis and cognition: The realization of the living. D. Reidel.</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Mikolov, T., Sutskever, I., Chen, K., Corrado, G., &amp; Dean, J. (2013). Distributed representations of words and phrases and their compositionality. Advances in Neural Information Processing Systems, 26.</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Mitchell, M. (2009). Complexity: A guided tour.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Mitchell, S., Potash, E., Barocas, S., D'Amour, A., &amp; Lum, K. (2021). Algorithmic fairness: Choices, assumptions, and definitions. Annual Review of Statistics and Its Application, 8, 141-163.</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Nagel, T. (1974). What is it like to be a bat? The Philosophical Review, 83(4), 435-450.</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Nguyen, A., et al. (2023). Cultural biases in large language models: A survey. Proceedings of the 61st Annual Meeting of the ACL.</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Ostrom, E. (2010). Polycentric systems for coping with collective action and global environmental change. Global Environmental Change, 20(4), 550-557.</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Quine, W. V. O. (1969). Ontological relativity and other essays. Columbia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Ravasz, E., Somera, A. L., Mongru, D. A., Oltvai, Z. N., &amp; Barabási, A.-L. (2002). Hierarchical organization of modularity in metabolic networks. Science, 297(5586), 1551-1555.</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Rechenberg, I. (1973). Evolutionsstrategie: Optimierung technischer Systeme nach Prinzipien der biologischen Evolution. Frommann-Holzboog.</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Rovelli, C. (1996). Relational quantum mechanics. International Journal of Theoretical Physics, 35(8), 1637-1678.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Russell, S. (2019). Human compatible: Artificial intelligence and the problem of control. Viking.</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Santos, J. R., &amp; Frank, A. (2025). Formal conditions for sustainability thresholds in human-ecological-AI feedback systems. Nature Machine Intelligence, 7(1), 12-24.</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Schaffer, J. (2010). On what grounds what. Oxford University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Scheffer, M., Bascompte, J., Brock, W. A., Brovkin, V., Carpenter, S. R., Dakos, V., ... &amp; Sugihara, G. (2009). Early-warning signals for critical transitions. Nature, 461(7260), 53-59.</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Schreiber, T. (2000). Measuring information transfer. Physical Review Letters, 85(2), 461-464.</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Shannon, C. E. (1948). A mathematical theory of communication. Bell System Technical Journal, 27(3), 379-423.</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Simon, H. A. (1962). The architecture of complexity. Proceedings of the American Philosophical Society, 106(6), 467-482.</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Sporns, O., &amp; Kötter, R. (2004). Motifs in brain networks. PLOS Biology, 2(11), e369.</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Strogatz, S. H. (2015). Nonlinear dynamics and chaos (2nd ed.). Westview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Tegmark, M. (2003). Parallel universes. Scientific American, 288(5), 40-51.</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Tegmark, M. (2014). Our mathematical universe. Knopf.</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Teilhard de Chardin, P. (2004). The phenomenon of man. Harper Perennial. (Original work published 1955).</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Tononi, G. (2008). Consciousness as integrated information: A provisional manifesto. Biological Bulletin, 215(3), 216-242.</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Vaswani, A., Shazeer, N., Parmar, N., Uszkoreit, J., Jones, L., Gomez, A. N., ... &amp; Polosukhin, I. (2017). Attention is all you need. Advances in Neural Information Processing Systems, 30.</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Wang, J., Kurth-Nelson, Z., Kumaran, D., Tirumala, D., Soyer, H., Leibo, J. Z., ... &amp; Botvinick, M. (2019). Prefrontal cortex as a meta-reinforcement learning system. Nature Neuroscience, 21(6), 860-868.</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Wei, J., Tay, Y., Bommasani, R., Raffel, C., Zoph, B., Borgeaud, S., ... &amp; Fedus, W. (2022). Emergent abilities of large language models. Transactions on Machine Learning Research.</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Wiener, N. (1948). Cybernetics: Or control and communication in the animal and the machine. MIT Press.</w:t>
      </w:r>
    </w:p>
    <w:p>
      <w:pPr>
        <w:pStyle w:val="ListParagraph"/>
        <w:numPr>
          <w:ilvl w:val="0"/>
          <w:numId w:val="2"/>
        </w:numPr>
        <w:spacing w:before="40" w:after="80" w:line="276"/>
      </w:pPr>
      <w:r>
        <w:rPr>
          <w:rFonts w:ascii="Times New Roman" w:cs="Times New Roman" w:eastAsia="Times New Roman" w:hAnsi="Times New Roman"/>
          <w:b w:val="false"/>
          <w:bCs w:val="false"/>
          <w:color w:val="000000"/>
          <w:sz w:val="18"/>
          <w:szCs w:val="18"/>
        </w:rPr>
        <w:t xml:space="preserve">Xu, K., Hu, W., Leskovec, J., &amp; Jegelka, S. (2019). How powerful are graph neural networks? Proceedings of ICLR 2019.</w:t>
      </w:r>
    </w:p>
    <w:sectPr>
      <w:headerReference w:type="default" r:id="rId6"/>
      <w:footerReference w:type="default" r:id="rId7"/>
      <w:pgSz w:w="11906" w:h="16838" w:orient="portrait"/>
      <w:pgMar w:top="1701" w:right="1276" w:bottom="1701"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55555" w:sz="4" w:space="4"/>
      </w:pBdr>
      <w:spacing w:before="8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4" w:space="4"/>
      </w:pBdr>
      <w:jc w:val="center"/>
    </w:pPr>
    <w:r>
      <w:rPr>
        <w:rFonts w:ascii="Times New Roman" w:cs="Times New Roman" w:eastAsia="Times New Roman" w:hAnsi="Times New Roman"/>
        <w:b w:val="false"/>
        <w:bCs w:val="false"/>
        <w:color w:val="444444"/>
        <w:sz w:val="16"/>
        <w:szCs w:val="16"/>
      </w:rPr>
      <w:t xml:space="preserve">Layered Intelligence Beyond Human Epistemology: A Seventeen-Tier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360" w:after="16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2026-03-20T06:00:40.673Z</dcterms:created>
  <dcterms:modified xsi:type="dcterms:W3CDTF">2026-03-20T06:00:40.674Z</dcterms:modified>
</cp:coreProperties>
</file>

<file path=docProps/custom.xml><?xml version="1.0" encoding="utf-8"?>
<Properties xmlns="http://schemas.openxmlformats.org/officeDocument/2006/custom-properties" xmlns:vt="http://schemas.openxmlformats.org/officeDocument/2006/docPropsVTypes"/>
</file>