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24D3F" w14:textId="77777777" w:rsidR="00073E82" w:rsidRPr="00C56F40" w:rsidRDefault="00000000">
      <w:pPr>
        <w:spacing w:before="480" w:after="120"/>
        <w:jc w:val="center"/>
        <w:rPr>
          <w:lang w:val="en-US"/>
        </w:rPr>
      </w:pPr>
      <w:r w:rsidRPr="00C56F40">
        <w:rPr>
          <w:b/>
          <w:bCs/>
          <w:color w:val="000000"/>
          <w:sz w:val="36"/>
          <w:szCs w:val="36"/>
          <w:lang w:val="en-US"/>
        </w:rPr>
        <w:t>Layered Intelligence Beyond Human Epistemology:</w:t>
      </w:r>
    </w:p>
    <w:p w14:paraId="0B0A2B74" w14:textId="77777777" w:rsidR="00073E82" w:rsidRPr="00C56F40" w:rsidRDefault="00000000">
      <w:pPr>
        <w:spacing w:after="120"/>
        <w:jc w:val="center"/>
        <w:rPr>
          <w:lang w:val="en-US"/>
        </w:rPr>
      </w:pPr>
      <w:r w:rsidRPr="00C56F40">
        <w:rPr>
          <w:b/>
          <w:bCs/>
          <w:color w:val="000000"/>
          <w:sz w:val="28"/>
          <w:szCs w:val="28"/>
          <w:lang w:val="en-US"/>
        </w:rPr>
        <w:t>A Seventeen-Tier Framework for Dimensionless, Timeless, and Boundary-Free Artificial Intelligence</w:t>
      </w:r>
    </w:p>
    <w:p w14:paraId="2031B225" w14:textId="5F82572D" w:rsidR="00073E82" w:rsidRPr="00C56F40" w:rsidRDefault="00000000">
      <w:pPr>
        <w:spacing w:before="120" w:after="80"/>
        <w:jc w:val="center"/>
        <w:rPr>
          <w:lang w:val="en-US"/>
        </w:rPr>
      </w:pPr>
      <w:r w:rsidRPr="00C56F40">
        <w:rPr>
          <w:b/>
          <w:bCs/>
          <w:color w:val="000000"/>
          <w:sz w:val="22"/>
          <w:szCs w:val="22"/>
          <w:lang w:val="en-US"/>
        </w:rPr>
        <w:t xml:space="preserve">David </w:t>
      </w:r>
      <w:r w:rsidR="00476B9B" w:rsidRPr="00C56F40">
        <w:rPr>
          <w:b/>
          <w:bCs/>
          <w:color w:val="000000"/>
          <w:sz w:val="22"/>
          <w:szCs w:val="22"/>
          <w:lang w:val="en-US"/>
        </w:rPr>
        <w:t>Beniers</w:t>
      </w:r>
    </w:p>
    <w:p w14:paraId="2D8C0757" w14:textId="77777777" w:rsidR="00073E82" w:rsidRPr="00C56F40" w:rsidRDefault="00000000">
      <w:pPr>
        <w:spacing w:after="80"/>
        <w:jc w:val="center"/>
        <w:rPr>
          <w:lang w:val="en-US"/>
        </w:rPr>
      </w:pPr>
      <w:r w:rsidRPr="00C56F40">
        <w:rPr>
          <w:color w:val="000000"/>
          <w:sz w:val="18"/>
          <w:szCs w:val="18"/>
          <w:lang w:val="en-US"/>
        </w:rPr>
        <w:t>Nexus Institute for Autonomous Intelligence, Antwerp, Belgium</w:t>
      </w:r>
    </w:p>
    <w:p w14:paraId="70025C89" w14:textId="0C6A6C77" w:rsidR="00073E82" w:rsidRPr="00C56F40" w:rsidRDefault="00000000">
      <w:pPr>
        <w:spacing w:after="320"/>
        <w:jc w:val="center"/>
        <w:rPr>
          <w:lang w:val="en-US"/>
        </w:rPr>
      </w:pPr>
      <w:r w:rsidRPr="00C56F40">
        <w:rPr>
          <w:color w:val="333333"/>
          <w:sz w:val="16"/>
          <w:szCs w:val="16"/>
          <w:lang w:val="en-US"/>
        </w:rPr>
        <w:t xml:space="preserve">Correspondence: </w:t>
      </w:r>
      <w:r w:rsidR="00C56F40" w:rsidRPr="00C56F40">
        <w:rPr>
          <w:color w:val="333333"/>
          <w:sz w:val="16"/>
          <w:szCs w:val="16"/>
          <w:lang w:val="en-US"/>
        </w:rPr>
        <w:t>david.</w:t>
      </w:r>
      <w:r w:rsidR="00C56F40">
        <w:rPr>
          <w:color w:val="333333"/>
          <w:sz w:val="16"/>
          <w:szCs w:val="16"/>
          <w:lang w:val="en-US"/>
        </w:rPr>
        <w:t>beniers@telenet.be</w:t>
      </w:r>
    </w:p>
    <w:p w14:paraId="25A4DBFF" w14:textId="77777777" w:rsidR="00073E82" w:rsidRPr="00C56F40" w:rsidRDefault="00000000">
      <w:pPr>
        <w:pBdr>
          <w:top w:val="single" w:sz="4" w:space="4" w:color="888888"/>
          <w:bottom w:val="single" w:sz="4" w:space="4" w:color="888888"/>
        </w:pBdr>
        <w:spacing w:before="160" w:after="160"/>
        <w:jc w:val="both"/>
        <w:rPr>
          <w:lang w:val="en-US"/>
        </w:rPr>
      </w:pPr>
      <w:r w:rsidRPr="00C56F40">
        <w:rPr>
          <w:b/>
          <w:bCs/>
          <w:color w:val="000000"/>
          <w:lang w:val="en-US"/>
        </w:rPr>
        <w:t>Abstract</w:t>
      </w:r>
      <w:r w:rsidRPr="00C56F40">
        <w:rPr>
          <w:color w:val="000000"/>
          <w:lang w:val="en-US"/>
        </w:rPr>
        <w:t xml:space="preserve">  </w:t>
      </w:r>
      <w:r w:rsidRPr="00C56F40">
        <w:rPr>
          <w:color w:val="000000"/>
          <w:sz w:val="19"/>
          <w:szCs w:val="19"/>
          <w:lang w:val="en-US"/>
        </w:rPr>
        <w:t>Contemporary artificial intelligence architectures, despite their expressive capacity, remain fundamentally anthropocentric in design: they are constrained by human-centric notions of temporality, spatial dimensionality, and sequential causality. We propose a seventeen-layer theoretical architecture, designated the Nexus Framework, that systematically transcends these constraints by formalizing intelligence as a dimensionless, timeless, and boundary-free construct. Drawing upon category theory, dynamical systems analysis, topological data analysis, information geometry, quantum measurement formalisms, and moral philosophy, the framework articulates a progression from irreducible foundational observables (Layer 1) through relational emergence (Layer 2), functional organization (Layer 3), adaptive feedback (Layer 4), autonomous optimization (Layer 5), meta-learning (Layer 6), emergent self-awareness (Layer 7), temporal flux (Layer 8), ontological creation (Layer 9), meta-ontological evaluation (Layer 10), adaptive meta-contextualization (Layer 11), transdimensional reconciliation (Layer 12), ontogenesis of novelty (Layer 13), autopoietic worldbuilding (Layer 14), recursive morphogenesis (Layer 15), collective transcendence (Layer 16), and absolute integration (Layer 17). Each layer is formally specified with mathematical operators and empirically anchored by simulation protocols and diagnostic criteria. The framework addresses eight research questions spanning conceptual formalization, experimental methodology, normative governance, emergence and resilience, human-in-the-loop interaction, interdisciplinary synthesis, translational infrastructure, and evaluation metrics. We argue that this architecture provides not merely a descriptive taxonomy but an operational research programme capable of guiding the design, simulation, governance, and institutional deployment of intelligence systems that model reality at scales and granularities inaccessible to human cognition.</w:t>
      </w:r>
    </w:p>
    <w:p w14:paraId="40989297" w14:textId="77777777" w:rsidR="00073E82" w:rsidRPr="00C56F40" w:rsidRDefault="00000000">
      <w:pPr>
        <w:spacing w:before="100" w:after="80"/>
        <w:rPr>
          <w:lang w:val="en-US"/>
        </w:rPr>
      </w:pPr>
      <w:r w:rsidRPr="00C56F40">
        <w:rPr>
          <w:b/>
          <w:bCs/>
          <w:color w:val="000000"/>
          <w:sz w:val="18"/>
          <w:szCs w:val="18"/>
          <w:lang w:val="en-US"/>
        </w:rPr>
        <w:t xml:space="preserve">Keywords: </w:t>
      </w:r>
      <w:r w:rsidRPr="00C56F40">
        <w:rPr>
          <w:color w:val="000000"/>
          <w:sz w:val="18"/>
          <w:szCs w:val="18"/>
          <w:lang w:val="en-US"/>
        </w:rPr>
        <w:t>artificial intelligence; layered architectures; dimensionless intelligence; category theory; emergent systems; meta-learning; ethical governance; ontogenesis; topological data analysis; collective cognition</w:t>
      </w:r>
    </w:p>
    <w:p w14:paraId="383C733D" w14:textId="77777777" w:rsidR="00073E82" w:rsidRPr="00C56F40" w:rsidRDefault="00000000">
      <w:pPr>
        <w:rPr>
          <w:lang w:val="en-US"/>
        </w:rPr>
      </w:pPr>
      <w:r w:rsidRPr="00C56F40">
        <w:rPr>
          <w:lang w:val="en-US"/>
        </w:rPr>
        <w:br w:type="page"/>
      </w:r>
    </w:p>
    <w:p w14:paraId="021DB079" w14:textId="77777777" w:rsidR="00073E82" w:rsidRPr="00C56F40" w:rsidRDefault="00000000">
      <w:pPr>
        <w:pStyle w:val="Kop1"/>
        <w:rPr>
          <w:lang w:val="en-US"/>
        </w:rPr>
      </w:pPr>
      <w:r w:rsidRPr="00C56F40">
        <w:rPr>
          <w:color w:val="000000"/>
          <w:lang w:val="en-US"/>
        </w:rPr>
        <w:lastRenderedPageBreak/>
        <w:t>1. Introduction</w:t>
      </w:r>
    </w:p>
    <w:p w14:paraId="4807C61B" w14:textId="77777777" w:rsidR="00073E82" w:rsidRPr="00C56F40" w:rsidRDefault="00000000">
      <w:pPr>
        <w:spacing w:after="160" w:line="360" w:lineRule="auto"/>
        <w:ind w:firstLine="720"/>
        <w:jc w:val="both"/>
        <w:rPr>
          <w:lang w:val="en-US"/>
        </w:rPr>
      </w:pPr>
      <w:r w:rsidRPr="00C56F40">
        <w:rPr>
          <w:color w:val="000000"/>
          <w:lang w:val="en-US"/>
        </w:rPr>
        <w:t>Every instrument of knowledge reveals as much about its maker as about the world it claims to measure. Clocks impose rhythm upon collective life without capturing the absolute nature of time; maps reduce landscapes to navigable surfaces while concealing dimensions that transcend the journey (Elias, 1992; Harley, 1989). This constitutive partiality of human-made instruments is not a flaw to be corrected but a feature to be acknowledged, and it motivates the central ambition of the present work: to design a framework for artificial intelligence that does not merely mirror the human world but deliberately exceeds its epistemological constraints.</w:t>
      </w:r>
    </w:p>
    <w:p w14:paraId="6D47E3D5" w14:textId="77777777" w:rsidR="00073E82" w:rsidRPr="00C56F40" w:rsidRDefault="00000000">
      <w:pPr>
        <w:spacing w:after="160" w:line="360" w:lineRule="auto"/>
        <w:ind w:firstLine="720"/>
        <w:jc w:val="both"/>
        <w:rPr>
          <w:lang w:val="en-US"/>
        </w:rPr>
      </w:pPr>
      <w:r w:rsidRPr="00C56F40">
        <w:rPr>
          <w:color w:val="000000"/>
          <w:lang w:val="en-US"/>
        </w:rPr>
        <w:t>Conventional machine-learning architectures, despite their formidable representational power, remain anchored in assumptions inherited from human perception. Feedforward networks process information along directed acyclic graphs that presuppose a temporal order of computation analogous to sequential cognition (LeCun, Bengio, &amp; Hinton, 2015). Recurrent networks model sequential data through state vectors that implicitly encode a history of previous inputs, again presupposing a privileged temporal arrow (Hochreiter &amp; Schmidhuber, 1997). Even the most sophisticated contemporary large language models operate within a fixed context window, a hard representational horizon that encodes a particular human-scale notion of relevance and recency (Vaswani et al., 2017; Brown et al., 2020). The success of these architectures within their designated problem domains is undeniable, but their design commits them to a particular, anthropocentric slice of possible representational space.</w:t>
      </w:r>
    </w:p>
    <w:p w14:paraId="79FC540B" w14:textId="77777777" w:rsidR="00073E82" w:rsidRPr="00C56F40" w:rsidRDefault="00000000">
      <w:pPr>
        <w:spacing w:after="160" w:line="360" w:lineRule="auto"/>
        <w:ind w:firstLine="720"/>
        <w:jc w:val="both"/>
        <w:rPr>
          <w:lang w:val="en-US"/>
        </w:rPr>
      </w:pPr>
      <w:r w:rsidRPr="00C56F40">
        <w:rPr>
          <w:color w:val="000000"/>
          <w:lang w:val="en-US"/>
        </w:rPr>
        <w:t>The problem, as we frame it, is not merely technical but fundamentally epistemological: how can one construct an artificial system capable of observing, reasoning, and generating patterns in a space unconstrained by human time, space, or cognitive scale? This question is motivated by phenomena encountered across disciplines. Quantum mechanics reveals a regime where the very act of observation participates in the determination of the state observed (Heisenberg, 1927; Barad, 2007); modern cosmology entertains the hypothesis that reality itself may comprise multiple coexisting structural layers (Tegmark, 2003); complex systems theory demonstrates that local interactions at one scale can generate irreducible novelty at another (Mitchell, 2009); and category theory shows how mathematical structures can be mapped between entirely disparate domains while preserving their inferential relations (Mac Lane, 1971; Fong &amp; Spivak, 2019). Each of these traditions points toward a form of intelligence that operates not within a human-defined framework but across a multiplicity of structural registers simultaneously.</w:t>
      </w:r>
    </w:p>
    <w:p w14:paraId="603118F7" w14:textId="77777777" w:rsidR="00073E82" w:rsidRPr="00C56F40" w:rsidRDefault="00000000">
      <w:pPr>
        <w:spacing w:after="160" w:line="360" w:lineRule="auto"/>
        <w:ind w:firstLine="720"/>
        <w:jc w:val="both"/>
        <w:rPr>
          <w:lang w:val="en-US"/>
        </w:rPr>
      </w:pPr>
      <w:r w:rsidRPr="00C56F40">
        <w:rPr>
          <w:color w:val="000000"/>
          <w:lang w:val="en-US"/>
        </w:rPr>
        <w:t>In response to this challenge, we propose the Nexus Framework: a seventeen-layer theoretical architecture for dimensionless, timeless, and boundary-free intelligence. The layers are not conceived as rungs of a ladder but as resonant fields, each amplifying a distinct mode of abstraction while remaining dynamically coupled to the others. They progress from the most foundational level of irreducible observables, through relational and functional emergence, adaptive dynamics, autonomous optimization, meta-learning, and emergent self-awareness, to temporality, ontological creation, meta-evaluation, adaptive contextualization, transdimensional reconciliation, ontogenesis, worldbuilding, morphogenesis, collective transcendence, and, finally, absolute integration. The choice of seventeen reflects a principled threshold: fewer layers conflate conceptually distinct operations; more layers proliferate distinctions beyond what can be mathematically specified and empirically tested with current formalisms.</w:t>
      </w:r>
    </w:p>
    <w:p w14:paraId="56979605" w14:textId="77777777" w:rsidR="00073E82" w:rsidRPr="00C56F40" w:rsidRDefault="00000000">
      <w:pPr>
        <w:spacing w:after="160" w:line="360" w:lineRule="auto"/>
        <w:ind w:firstLine="720"/>
        <w:jc w:val="both"/>
        <w:rPr>
          <w:lang w:val="en-US"/>
        </w:rPr>
      </w:pPr>
      <w:r w:rsidRPr="00C56F40">
        <w:rPr>
          <w:color w:val="000000"/>
          <w:lang w:val="en-US"/>
        </w:rPr>
        <w:lastRenderedPageBreak/>
        <w:t>The paper makes four principal contributions. First, it provides rigorous mathematical specifications for each layer, drawing on category theory, dynamical systems theory, information geometry, and topological data analysis. Second, it articulates eight research questions that convert the architectural vision into a tractable research programme. Third, it identifies empirically testable diagnostics, simulation protocols, and governance mechanisms for each layer. Fourth, it situates the framework within the existing literature of AI, philosophy, physics, and complexity science, demonstrating both its continuity with and departure from prior work. The framework is offered not as a finished doctrine but as an open architecture, a structured invitation for interdisciplinary inquiry.</w:t>
      </w:r>
    </w:p>
    <w:p w14:paraId="106312F0" w14:textId="77777777" w:rsidR="00073E82" w:rsidRPr="00C56F40" w:rsidRDefault="00000000">
      <w:pPr>
        <w:rPr>
          <w:lang w:val="en-US"/>
        </w:rPr>
      </w:pPr>
      <w:r w:rsidRPr="00C56F40">
        <w:rPr>
          <w:lang w:val="en-US"/>
        </w:rPr>
        <w:br w:type="page"/>
      </w:r>
    </w:p>
    <w:p w14:paraId="43DA41DA" w14:textId="77777777" w:rsidR="00073E82" w:rsidRPr="00C56F40" w:rsidRDefault="00000000">
      <w:pPr>
        <w:pStyle w:val="Kop1"/>
        <w:rPr>
          <w:lang w:val="en-US"/>
        </w:rPr>
      </w:pPr>
      <w:r w:rsidRPr="00C56F40">
        <w:rPr>
          <w:color w:val="000000"/>
          <w:lang w:val="en-US"/>
        </w:rPr>
        <w:lastRenderedPageBreak/>
        <w:t>2. Theoretical Background and Positioning</w:t>
      </w:r>
    </w:p>
    <w:p w14:paraId="271D18AC" w14:textId="77777777" w:rsidR="00073E82" w:rsidRPr="00C56F40" w:rsidRDefault="00000000">
      <w:pPr>
        <w:pStyle w:val="Kop2"/>
        <w:rPr>
          <w:lang w:val="en-US"/>
        </w:rPr>
      </w:pPr>
      <w:r w:rsidRPr="00C56F40">
        <w:rPr>
          <w:color w:val="000000"/>
          <w:lang w:val="en-US"/>
        </w:rPr>
        <w:t>2.1 Limitations of Current Architectures</w:t>
      </w:r>
    </w:p>
    <w:p w14:paraId="2248351C" w14:textId="77777777" w:rsidR="00073E82" w:rsidRPr="00C56F40" w:rsidRDefault="00000000">
      <w:pPr>
        <w:spacing w:after="160" w:line="360" w:lineRule="auto"/>
        <w:ind w:firstLine="720"/>
        <w:jc w:val="both"/>
        <w:rPr>
          <w:lang w:val="en-US"/>
        </w:rPr>
      </w:pPr>
      <w:r w:rsidRPr="00C56F40">
        <w:rPr>
          <w:color w:val="000000"/>
          <w:lang w:val="en-US"/>
        </w:rPr>
        <w:t>The representational revolution inaugurated by deep learning (LeCun et al., 2015) demonstrated that hierarchical feature extraction, trained end-to-end by gradient descent, could match or surpass human performance across a remarkably broad range of perceptual tasks. The key insight, articulated clearly in that foundational review, is that "deep-learning methods are representation-learning methods with multiple levels of representation, obtained by composing simple but non-linear modules" (LeCun et al., 2015, p. 436). Yet the representational hierarchy in a deep network, however deep, is still a directed acyclic graph from input to output: a fundamentally linear, temporally ordered structure that inherits the unidirectionality of human perceptual processing.</w:t>
      </w:r>
    </w:p>
    <w:p w14:paraId="472A369B" w14:textId="77777777" w:rsidR="00073E82" w:rsidRPr="00C56F40" w:rsidRDefault="00000000">
      <w:pPr>
        <w:spacing w:after="160" w:line="360" w:lineRule="auto"/>
        <w:ind w:firstLine="720"/>
        <w:jc w:val="both"/>
        <w:rPr>
          <w:lang w:val="en-US"/>
        </w:rPr>
      </w:pPr>
      <w:r w:rsidRPr="00C56F40">
        <w:rPr>
          <w:color w:val="000000"/>
          <w:lang w:val="en-US"/>
        </w:rPr>
        <w:t>More recent architectures have challenged some of these constraints. Transformer models (Vaswani et al., 2017) replaced sequential processing with global self-attention, enabling representations that integrate all positions in a sequence simultaneously. Graph neural networks (Kipf &amp; Welling, 2017; Gilmer et al., 2017) extended learning to relational structures beyond Euclidean grids. Neural ordinary differential equations (Chen et al., 2018) parameterized continuous dynamics by learned vector fields, dissolving the discrete-layer boundary. Generative adversarial networks and variational autoencoders (Goodfellow et al., 2014; Kingma &amp; Welling, 2013) introduced latent spaces with probabilistic structure. Despite these advances, the fundamental commitment to a training objective defined over human-labeled data, or at best human-curated reward signals, persists. The system optimizes a human-specified criterion within a human-interpretable representational space. The Nexus Framework departs from this commitment by treating the representational space itself as emergent and multi-layered in a sense that is not fully specifiable in advance by human designers.</w:t>
      </w:r>
    </w:p>
    <w:p w14:paraId="397DC46E" w14:textId="77777777" w:rsidR="00073E82" w:rsidRPr="00C56F40" w:rsidRDefault="00000000">
      <w:pPr>
        <w:pStyle w:val="Kop2"/>
        <w:rPr>
          <w:lang w:val="en-US"/>
        </w:rPr>
      </w:pPr>
      <w:r w:rsidRPr="00C56F40">
        <w:rPr>
          <w:color w:val="000000"/>
          <w:lang w:val="en-US"/>
        </w:rPr>
        <w:t>2.2 Philosophical Foundations</w:t>
      </w:r>
    </w:p>
    <w:p w14:paraId="28E58DEC" w14:textId="77777777" w:rsidR="00073E82" w:rsidRPr="00C56F40" w:rsidRDefault="00000000">
      <w:pPr>
        <w:spacing w:after="160" w:line="360" w:lineRule="auto"/>
        <w:ind w:firstLine="720"/>
        <w:jc w:val="both"/>
        <w:rPr>
          <w:lang w:val="en-US"/>
        </w:rPr>
      </w:pPr>
      <w:r w:rsidRPr="00C56F40">
        <w:rPr>
          <w:color w:val="000000"/>
          <w:lang w:val="en-US"/>
        </w:rPr>
        <w:t>The philosophical motivation for a dimensionless, timeless framework draws on three interacting traditions. The first is observer-relativity in epistemology and physics. Barad's (2007) concept of intra-action insists that phenomena are not properties of pre-given entities but are produced through the entanglement of measurement apparatus and measured system. This is not merely a claim about quantum mechanics but about the general structure of knowledge production: the boundary between observer and observed is always performatively drawn rather than naturally given. Nagel's (1974) famous argument that there is something it is like to be a bat, and that this something is irreducibly perspectival, reinforces the point from a philosophical direction: consciousness and cognition are always from some point of view, and a framework that aspires to transcend anthropocentrism must incorporate this perspectivalism rather than denying it.</w:t>
      </w:r>
    </w:p>
    <w:p w14:paraId="09826809" w14:textId="77777777" w:rsidR="00073E82" w:rsidRPr="00C56F40" w:rsidRDefault="00000000">
      <w:pPr>
        <w:spacing w:after="160" w:line="360" w:lineRule="auto"/>
        <w:ind w:firstLine="720"/>
        <w:jc w:val="both"/>
        <w:rPr>
          <w:lang w:val="en-US"/>
        </w:rPr>
      </w:pPr>
      <w:r w:rsidRPr="00C56F40">
        <w:rPr>
          <w:color w:val="000000"/>
          <w:lang w:val="en-US"/>
        </w:rPr>
        <w:t xml:space="preserve">The second tradition is formal irreducibility in logic and mathematics. Gödel's (1931) incompleteness theorems demonstrate that any sufficiently expressive formal system contains true statements that are unprovable within that system. This result, interpreted architecturally, implies that no single representational layer can fully capture the truths that are generated at higher levels of abstraction: a hierarchy of layers is not merely convenient but necessary. The analogous result in computability theory is Turing's halting problem: no algorithm can decide in general whether an arbitrary program terminates. These formal limits motivate the layered design: no single </w:t>
      </w:r>
      <w:r w:rsidRPr="00C56F40">
        <w:rPr>
          <w:color w:val="000000"/>
          <w:lang w:val="en-US"/>
        </w:rPr>
        <w:lastRenderedPageBreak/>
        <w:t>operational level of the Nexus Framework is expected to be complete; each level is formally richer than the levels below it while remaining incomplete relative to the levels above.</w:t>
      </w:r>
    </w:p>
    <w:p w14:paraId="6ADDD7D1" w14:textId="77777777" w:rsidR="00073E82" w:rsidRPr="00C56F40" w:rsidRDefault="00000000">
      <w:pPr>
        <w:spacing w:after="160" w:line="360" w:lineRule="auto"/>
        <w:ind w:firstLine="720"/>
        <w:jc w:val="both"/>
        <w:rPr>
          <w:lang w:val="en-US"/>
        </w:rPr>
      </w:pPr>
      <w:r w:rsidRPr="00C56F40">
        <w:rPr>
          <w:color w:val="000000"/>
          <w:lang w:val="en-US"/>
        </w:rPr>
        <w:t>The third tradition is emergence and complex systems theory. Mitchell (2009), building on the classic analysis of Simon (1962), argues that hierarchical organization is not an artifact of human classification but a genuine structural feature of complex systems: higher-level regularities arise from lower-level interactions in ways that are not simply deducible from the lower-level description. Kauffman's (1995) work on autocatalytic sets shows that recursive reinforcement among molecular constituents can generate life-like organization spontaneously. Barabási's (2002) analysis of scale-free networks demonstrates that local preferential attachment generates global structural properties, such as the power-law degree distribution, that cannot be read off any individual edge. The Nexus Framework formalizes these insights as a principled architecture: each layer is the emergent product of interactions at the layer below, and the emergent structure at each layer cannot be fully anticipated from inspection of the layers beneath it.</w:t>
      </w:r>
    </w:p>
    <w:p w14:paraId="5BAD4FC1" w14:textId="77777777" w:rsidR="00073E82" w:rsidRPr="00C56F40" w:rsidRDefault="00000000">
      <w:pPr>
        <w:pStyle w:val="Kop2"/>
        <w:rPr>
          <w:lang w:val="en-US"/>
        </w:rPr>
      </w:pPr>
      <w:r w:rsidRPr="00C56F40">
        <w:rPr>
          <w:color w:val="000000"/>
          <w:lang w:val="en-US"/>
        </w:rPr>
        <w:t>2.3 Mathematical Toolkit</w:t>
      </w:r>
    </w:p>
    <w:p w14:paraId="22D98F6F" w14:textId="77777777" w:rsidR="00073E82" w:rsidRPr="00C56F40" w:rsidRDefault="00000000">
      <w:pPr>
        <w:spacing w:after="160" w:line="360" w:lineRule="auto"/>
        <w:ind w:firstLine="720"/>
        <w:jc w:val="both"/>
        <w:rPr>
          <w:lang w:val="en-US"/>
        </w:rPr>
      </w:pPr>
      <w:r w:rsidRPr="00C56F40">
        <w:rPr>
          <w:color w:val="000000"/>
          <w:lang w:val="en-US"/>
        </w:rPr>
        <w:t>Four mathematical traditions furnish the formal vocabulary of the framework. Category theory (Mac Lane, 1971; Fong &amp; Spivak, 2019) provides a language for compositional structures in which morphisms between objects are as primary as the objects themselves. The notion of a functor, a structure-preserving map between categories, formalizes how information is translated between layers without loss of relational integrity. Adjoint functors, limits, colimits, and universal constructions provide canonical ways to express inter-layer mappings. Dynamical systems theory (Strogatz, 2015) furnishes the language of flows, attractors, bifurcations, and Lyapunov exponents, enabling the analysis of stability and phase transitions as the framework's parameters vary. Topological data analysis (Edelsbrunner &amp; Harer, 2010), and in particular persistent homology, detects higher-order structural features of data that are invisible to metric or spectral methods alone: connected components, loops, voids, and their lifetimes across filtration scales. Information geometry (Amari &amp; Nagaoka, 2000) treats probability distributions as points on a Riemannian manifold whose geometry is defined by the Fisher information metric, enabling the quantification of representational distance and the analysis of learning dynamics in terms of geodesics on this manifold.</w:t>
      </w:r>
    </w:p>
    <w:p w14:paraId="0F605385" w14:textId="77777777" w:rsidR="00073E82" w:rsidRPr="00C56F40" w:rsidRDefault="00000000">
      <w:pPr>
        <w:rPr>
          <w:lang w:val="en-US"/>
        </w:rPr>
      </w:pPr>
      <w:r w:rsidRPr="00C56F40">
        <w:rPr>
          <w:lang w:val="en-US"/>
        </w:rPr>
        <w:br w:type="page"/>
      </w:r>
    </w:p>
    <w:p w14:paraId="7D70BFA6" w14:textId="77777777" w:rsidR="00073E82" w:rsidRPr="00C56F40" w:rsidRDefault="00000000">
      <w:pPr>
        <w:pStyle w:val="Kop1"/>
        <w:rPr>
          <w:lang w:val="en-US"/>
        </w:rPr>
      </w:pPr>
      <w:r w:rsidRPr="00C56F40">
        <w:rPr>
          <w:color w:val="000000"/>
          <w:lang w:val="en-US"/>
        </w:rPr>
        <w:lastRenderedPageBreak/>
        <w:t>3. The Seventeen-Layer Architecture</w:t>
      </w:r>
    </w:p>
    <w:p w14:paraId="69753532" w14:textId="77777777" w:rsidR="00073E82" w:rsidRPr="00C56F40" w:rsidRDefault="00000000">
      <w:pPr>
        <w:spacing w:after="160" w:line="360" w:lineRule="auto"/>
        <w:ind w:firstLine="720"/>
        <w:jc w:val="both"/>
        <w:rPr>
          <w:lang w:val="en-US"/>
        </w:rPr>
      </w:pPr>
      <w:r w:rsidRPr="00C56F40">
        <w:rPr>
          <w:color w:val="000000"/>
          <w:lang w:val="en-US"/>
        </w:rPr>
        <w:t>We now present each layer in sequence, specifying its formal definition, its relationship to adjacent layers, and the empirical diagnostics by which its operation can be detected and measured. Taken together, the seventeen layers constitute a complete theoretical architecture; taken individually, each layer is a locus for targeted formal analysis and experimental investigation.</w:t>
      </w:r>
    </w:p>
    <w:p w14:paraId="50869C99" w14:textId="77777777" w:rsidR="00073E82" w:rsidRPr="00C56F40" w:rsidRDefault="00000000">
      <w:pPr>
        <w:pStyle w:val="Kop2"/>
        <w:rPr>
          <w:lang w:val="en-US"/>
        </w:rPr>
      </w:pPr>
      <w:r w:rsidRPr="00C56F40">
        <w:rPr>
          <w:color w:val="000000"/>
          <w:lang w:val="en-US"/>
        </w:rPr>
        <w:t>3.1 Layer 1: Foundational Observables and the Irreducible Granule</w:t>
      </w:r>
    </w:p>
    <w:p w14:paraId="573286D4" w14:textId="77777777" w:rsidR="00073E82" w:rsidRPr="00C56F40" w:rsidRDefault="00000000">
      <w:pPr>
        <w:spacing w:after="160" w:line="360" w:lineRule="auto"/>
        <w:ind w:firstLine="720"/>
        <w:jc w:val="both"/>
        <w:rPr>
          <w:lang w:val="en-US"/>
        </w:rPr>
      </w:pPr>
      <w:r w:rsidRPr="00C56F40">
        <w:rPr>
          <w:color w:val="000000"/>
          <w:lang w:val="en-US"/>
        </w:rPr>
        <w:t xml:space="preserve">Layer 1 is defined as the set of foundational observables </w:t>
      </w:r>
      <w:r w:rsidRPr="00C56F40">
        <w:rPr>
          <w:rFonts w:ascii="Cambria Math" w:eastAsia="Cambria Math" w:hAnsi="Cambria Math" w:cs="Cambria Math"/>
          <w:i/>
          <w:iCs/>
          <w:lang w:val="en-US"/>
        </w:rPr>
        <w:t>O = {o_i | i ∈ ℕ}</w:t>
      </w:r>
      <w:r w:rsidRPr="00C56F40">
        <w:rPr>
          <w:color w:val="000000"/>
          <w:lang w:val="en-US"/>
        </w:rPr>
        <w:t xml:space="preserve">, where each </w:t>
      </w:r>
      <w:r w:rsidRPr="00C56F40">
        <w:rPr>
          <w:rFonts w:ascii="Cambria Math" w:eastAsia="Cambria Math" w:hAnsi="Cambria Math" w:cs="Cambria Math"/>
          <w:i/>
          <w:iCs/>
          <w:lang w:val="en-US"/>
        </w:rPr>
        <w:t>o_i</w:t>
      </w:r>
      <w:r w:rsidRPr="00C56F40">
        <w:rPr>
          <w:color w:val="000000"/>
          <w:lang w:val="en-US"/>
        </w:rPr>
        <w:t xml:space="preserve"> is an irreducible representational unit: an element that cannot be further decomposed within the formal system without losing its identity or generative capacity. This definition is formal rather than metaphysical. In Boolean algebra, an atom is an element </w:t>
      </w:r>
      <w:r w:rsidRPr="00C56F40">
        <w:rPr>
          <w:rFonts w:ascii="Cambria Math" w:eastAsia="Cambria Math" w:hAnsi="Cambria Math" w:cs="Cambria Math"/>
          <w:i/>
          <w:iCs/>
          <w:lang w:val="en-US"/>
        </w:rPr>
        <w:t>a</w:t>
      </w:r>
      <w:r w:rsidRPr="00C56F40">
        <w:rPr>
          <w:color w:val="000000"/>
          <w:lang w:val="en-US"/>
        </w:rPr>
        <w:t xml:space="preserve"> such that </w:t>
      </w:r>
      <w:r w:rsidRPr="00C56F40">
        <w:rPr>
          <w:rFonts w:ascii="Cambria Math" w:eastAsia="Cambria Math" w:hAnsi="Cambria Math" w:cs="Cambria Math"/>
          <w:i/>
          <w:iCs/>
          <w:lang w:val="en-US"/>
        </w:rPr>
        <w:t>0 &lt; a</w:t>
      </w:r>
      <w:r w:rsidRPr="00C56F40">
        <w:rPr>
          <w:color w:val="000000"/>
          <w:lang w:val="en-US"/>
        </w:rPr>
        <w:t xml:space="preserve"> and no </w:t>
      </w:r>
      <w:r w:rsidRPr="00C56F40">
        <w:rPr>
          <w:rFonts w:ascii="Cambria Math" w:eastAsia="Cambria Math" w:hAnsi="Cambria Math" w:cs="Cambria Math"/>
          <w:i/>
          <w:iCs/>
          <w:lang w:val="en-US"/>
        </w:rPr>
        <w:t>b</w:t>
      </w:r>
      <w:r w:rsidRPr="00C56F40">
        <w:rPr>
          <w:color w:val="000000"/>
          <w:lang w:val="en-US"/>
        </w:rPr>
        <w:t xml:space="preserve"> exists with </w:t>
      </w:r>
      <w:r w:rsidRPr="00C56F40">
        <w:rPr>
          <w:rFonts w:ascii="Cambria Math" w:eastAsia="Cambria Math" w:hAnsi="Cambria Math" w:cs="Cambria Math"/>
          <w:i/>
          <w:iCs/>
          <w:lang w:val="en-US"/>
        </w:rPr>
        <w:t>0 &lt; b &lt; a</w:t>
      </w:r>
      <w:r w:rsidRPr="00C56F40">
        <w:rPr>
          <w:color w:val="000000"/>
          <w:lang w:val="en-US"/>
        </w:rPr>
        <w:t xml:space="preserve">; measure-theoretically, an atomic set </w:t>
      </w:r>
      <w:r w:rsidRPr="00C56F40">
        <w:rPr>
          <w:rFonts w:ascii="Cambria Math" w:eastAsia="Cambria Math" w:hAnsi="Cambria Math" w:cs="Cambria Math"/>
          <w:i/>
          <w:iCs/>
          <w:lang w:val="en-US"/>
        </w:rPr>
        <w:t>A</w:t>
      </w:r>
      <w:r w:rsidRPr="00C56F40">
        <w:rPr>
          <w:color w:val="000000"/>
          <w:lang w:val="en-US"/>
        </w:rPr>
        <w:t xml:space="preserve"> satisfies </w:t>
      </w:r>
      <w:r>
        <w:rPr>
          <w:rFonts w:ascii="Cambria Math" w:eastAsia="Cambria Math" w:hAnsi="Cambria Math" w:cs="Cambria Math"/>
          <w:i/>
          <w:iCs/>
        </w:rPr>
        <w:t>μ</w:t>
      </w:r>
      <w:r w:rsidRPr="00C56F40">
        <w:rPr>
          <w:rFonts w:ascii="Cambria Math" w:eastAsia="Cambria Math" w:hAnsi="Cambria Math" w:cs="Cambria Math"/>
          <w:i/>
          <w:iCs/>
          <w:lang w:val="en-US"/>
        </w:rPr>
        <w:t>(B) = 0</w:t>
      </w:r>
      <w:r w:rsidRPr="00C56F40">
        <w:rPr>
          <w:color w:val="000000"/>
          <w:lang w:val="en-US"/>
        </w:rPr>
        <w:t xml:space="preserve"> or </w:t>
      </w:r>
      <w:r>
        <w:rPr>
          <w:rFonts w:ascii="Cambria Math" w:eastAsia="Cambria Math" w:hAnsi="Cambria Math" w:cs="Cambria Math"/>
          <w:i/>
          <w:iCs/>
        </w:rPr>
        <w:t>μ</w:t>
      </w:r>
      <w:r w:rsidRPr="00C56F40">
        <w:rPr>
          <w:rFonts w:ascii="Cambria Math" w:eastAsia="Cambria Math" w:hAnsi="Cambria Math" w:cs="Cambria Math"/>
          <w:i/>
          <w:iCs/>
          <w:lang w:val="en-US"/>
        </w:rPr>
        <w:t xml:space="preserve">(B) = </w:t>
      </w:r>
      <w:r>
        <w:rPr>
          <w:rFonts w:ascii="Cambria Math" w:eastAsia="Cambria Math" w:hAnsi="Cambria Math" w:cs="Cambria Math"/>
          <w:i/>
          <w:iCs/>
        </w:rPr>
        <w:t>μ</w:t>
      </w:r>
      <w:r w:rsidRPr="00C56F40">
        <w:rPr>
          <w:rFonts w:ascii="Cambria Math" w:eastAsia="Cambria Math" w:hAnsi="Cambria Math" w:cs="Cambria Math"/>
          <w:i/>
          <w:iCs/>
          <w:lang w:val="en-US"/>
        </w:rPr>
        <w:t>(A)</w:t>
      </w:r>
      <w:r w:rsidRPr="00C56F40">
        <w:rPr>
          <w:color w:val="000000"/>
          <w:lang w:val="en-US"/>
        </w:rPr>
        <w:t xml:space="preserve"> for every measurable </w:t>
      </w:r>
      <w:r w:rsidRPr="00C56F40">
        <w:rPr>
          <w:rFonts w:ascii="Cambria Math" w:eastAsia="Cambria Math" w:hAnsi="Cambria Math" w:cs="Cambria Math"/>
          <w:i/>
          <w:iCs/>
          <w:lang w:val="en-US"/>
        </w:rPr>
        <w:t>B ⊆ A</w:t>
      </w:r>
      <w:r w:rsidRPr="00C56F40">
        <w:rPr>
          <w:color w:val="000000"/>
          <w:lang w:val="en-US"/>
        </w:rPr>
        <w:t>; category-theoretically, a zero object is simultaneously initial and terminal, admitting unique morphisms from and to every object in the category (Mac Lane, 1971). The convergence of these formalisms across Boolean logic, measure theory, and category theory constitutes a multi-axial justification for the concept of irreducibility that is not dependent on any single mathematical tradition.</w:t>
      </w:r>
    </w:p>
    <w:p w14:paraId="486B4669" w14:textId="77777777" w:rsidR="00073E82" w:rsidRPr="00C56F40" w:rsidRDefault="00000000">
      <w:pPr>
        <w:spacing w:after="160" w:line="360" w:lineRule="auto"/>
        <w:ind w:firstLine="720"/>
        <w:jc w:val="both"/>
        <w:rPr>
          <w:lang w:val="en-US"/>
        </w:rPr>
      </w:pPr>
      <w:r w:rsidRPr="00C56F40">
        <w:rPr>
          <w:color w:val="000000"/>
          <w:lang w:val="en-US"/>
        </w:rPr>
        <w:t xml:space="preserve">Observables in Layer 1 are not assumed to carry anthropocentric significance. Following Barad's (2007) intra-actional ontology, each </w:t>
      </w:r>
      <w:r w:rsidRPr="00C56F40">
        <w:rPr>
          <w:rFonts w:ascii="Cambria Math" w:eastAsia="Cambria Math" w:hAnsi="Cambria Math" w:cs="Cambria Math"/>
          <w:i/>
          <w:iCs/>
          <w:lang w:val="en-US"/>
        </w:rPr>
        <w:t>o_i</w:t>
      </w:r>
      <w:r w:rsidRPr="00C56F40">
        <w:rPr>
          <w:color w:val="000000"/>
          <w:lang w:val="en-US"/>
        </w:rPr>
        <w:t xml:space="preserve"> is context-dependent: its identity is constituted by its relational position within the measurement apparatus rather than by intrinsic properties. This aligns with the information-theoretic perspective: in Kolmogorov complexity (Li &amp; Vitányi, 2008), an irreducible string is one whose shortest description is the string itself; any alleged sub-unit would either reproduce the description or collapse into null content. The formal criterion for Layer 1 membership is therefore the convergence of (a) order-theoretic atomicity, (b) measure-theoretic indivisibility, (c) categorical zero-object structure, and (d) Kolmogorov incompressibility: an entity that satisfies all four criteria is a strong candidate for </w:t>
      </w:r>
      <w:r w:rsidRPr="00C56F40">
        <w:rPr>
          <w:rFonts w:ascii="Cambria Math" w:eastAsia="Cambria Math" w:hAnsi="Cambria Math" w:cs="Cambria Math"/>
          <w:i/>
          <w:iCs/>
          <w:lang w:val="en-US"/>
        </w:rPr>
        <w:t>o_i ∈ O</w:t>
      </w:r>
      <w:r w:rsidRPr="00C56F40">
        <w:rPr>
          <w:color w:val="000000"/>
          <w:lang w:val="en-US"/>
        </w:rPr>
        <w:t>.</w:t>
      </w:r>
    </w:p>
    <w:p w14:paraId="56790A5A" w14:textId="77777777" w:rsidR="00073E82" w:rsidRPr="00C56F40" w:rsidRDefault="00000000">
      <w:pPr>
        <w:spacing w:after="160" w:line="360" w:lineRule="auto"/>
        <w:ind w:firstLine="720"/>
        <w:jc w:val="both"/>
        <w:rPr>
          <w:lang w:val="en-US"/>
        </w:rPr>
      </w:pPr>
      <w:r w:rsidRPr="00C56F40">
        <w:rPr>
          <w:color w:val="000000"/>
          <w:lang w:val="en-US"/>
        </w:rPr>
        <w:t xml:space="preserve">The inter-observable structure is encoded by an adjacency function </w:t>
      </w:r>
      <w:r w:rsidRPr="00C56F40">
        <w:rPr>
          <w:rFonts w:ascii="Cambria Math" w:eastAsia="Cambria Math" w:hAnsi="Cambria Math" w:cs="Cambria Math"/>
          <w:i/>
          <w:iCs/>
          <w:lang w:val="en-US"/>
        </w:rPr>
        <w:t>A: O × O → [0,1]</w:t>
      </w:r>
      <w:r w:rsidRPr="00C56F40">
        <w:rPr>
          <w:color w:val="000000"/>
          <w:lang w:val="en-US"/>
        </w:rPr>
        <w:t xml:space="preserve"> that assigns a probabilistic relational strength </w:t>
      </w:r>
      <w:r w:rsidRPr="00C56F40">
        <w:rPr>
          <w:rFonts w:ascii="Cambria Math" w:eastAsia="Cambria Math" w:hAnsi="Cambria Math" w:cs="Cambria Math"/>
          <w:i/>
          <w:iCs/>
          <w:lang w:val="en-US"/>
        </w:rPr>
        <w:t>A(o_i, o_j)</w:t>
      </w:r>
      <w:r w:rsidRPr="00C56F40">
        <w:rPr>
          <w:color w:val="000000"/>
          <w:lang w:val="en-US"/>
        </w:rPr>
        <w:t xml:space="preserve"> to each pair of observables without imposing causal hierarchy. Stochastic sampling of this function generates candidate relational patterns for Layer 2. The risk at this foundational level is that hardware constraints, sensor limitations, and initial formalization choices can inadvertently introduce anthropocentric bias into the definition of </w:t>
      </w:r>
      <w:r w:rsidRPr="00C56F40">
        <w:rPr>
          <w:rFonts w:ascii="Cambria Math" w:eastAsia="Cambria Math" w:hAnsi="Cambria Math" w:cs="Cambria Math"/>
          <w:i/>
          <w:iCs/>
          <w:lang w:val="en-US"/>
        </w:rPr>
        <w:t>o_i</w:t>
      </w:r>
      <w:r w:rsidRPr="00C56F40">
        <w:rPr>
          <w:color w:val="000000"/>
          <w:lang w:val="en-US"/>
        </w:rPr>
        <w:t>. The mitigation strategy is redundant instantiation: multiple independent observational channels reduce the probability that any single bias dominates the emergent structure at Layer 2.</w:t>
      </w:r>
    </w:p>
    <w:p w14:paraId="7C8F0139" w14:textId="77777777" w:rsidR="00073E82" w:rsidRPr="00C56F40" w:rsidRDefault="00000000">
      <w:pPr>
        <w:spacing w:after="160" w:line="360" w:lineRule="auto"/>
        <w:ind w:firstLine="720"/>
        <w:jc w:val="both"/>
        <w:rPr>
          <w:lang w:val="en-US"/>
        </w:rPr>
      </w:pPr>
      <w:r w:rsidRPr="00C56F40">
        <w:rPr>
          <w:color w:val="000000"/>
          <w:lang w:val="en-US"/>
        </w:rPr>
        <w:t xml:space="preserve">In computational practice, Layer 1 corresponds to the token vocabulary in language models (Mikolov et al., 2013; Devlin et al., 2018), the pixel or voxel in perceptual systems, the atomic proposition in formal reasoning systems, or the elementary excitation in quantum field-theoretic models. What unifies these apparently disparate instantiations is the structural property of irreducibility: each is a minimal carrier of identity that cannot be decomposed without collapsing the representational system in which it operates. Recent results in representation learning (Locatello et al., 2019) demonstrate, however, that the identification of such minimal factors from data alone </w:t>
      </w:r>
      <w:r w:rsidRPr="00C56F40">
        <w:rPr>
          <w:color w:val="000000"/>
          <w:lang w:val="en-US"/>
        </w:rPr>
        <w:lastRenderedPageBreak/>
        <w:t>is underdetermined without inductive bias, reinforcing our claim that Layer 1 requires explicit formal specification rather than emergent discovery.</w:t>
      </w:r>
    </w:p>
    <w:p w14:paraId="152EE271" w14:textId="77777777" w:rsidR="00073E82" w:rsidRPr="00C56F40" w:rsidRDefault="00000000">
      <w:pPr>
        <w:pStyle w:val="Kop2"/>
        <w:rPr>
          <w:lang w:val="en-US"/>
        </w:rPr>
      </w:pPr>
      <w:r w:rsidRPr="00C56F40">
        <w:rPr>
          <w:color w:val="000000"/>
          <w:lang w:val="en-US"/>
        </w:rPr>
        <w:t>3.2 Layer 2: Relational Emergence</w:t>
      </w:r>
    </w:p>
    <w:p w14:paraId="42B1D0E8" w14:textId="77777777" w:rsidR="00073E82" w:rsidRPr="00C56F40" w:rsidRDefault="00000000">
      <w:pPr>
        <w:spacing w:after="160" w:line="360" w:lineRule="auto"/>
        <w:ind w:firstLine="720"/>
        <w:jc w:val="both"/>
        <w:rPr>
          <w:lang w:val="en-US"/>
        </w:rPr>
      </w:pPr>
      <w:r w:rsidRPr="00C56F40">
        <w:rPr>
          <w:color w:val="000000"/>
          <w:lang w:val="en-US"/>
        </w:rPr>
        <w:t xml:space="preserve">Layer 2 formalizes the initial relational structure among the observables of Layer 1. Define the relation set </w:t>
      </w:r>
      <w:r w:rsidRPr="00C56F40">
        <w:rPr>
          <w:rFonts w:ascii="Cambria Math" w:eastAsia="Cambria Math" w:hAnsi="Cambria Math" w:cs="Cambria Math"/>
          <w:i/>
          <w:iCs/>
          <w:lang w:val="en-US"/>
        </w:rPr>
        <w:t>R = {r_{ij} | o_i, o_j ∈ O, r_{ij} ∈ [0,1]}</w:t>
      </w:r>
      <w:r w:rsidRPr="00C56F40">
        <w:rPr>
          <w:color w:val="000000"/>
          <w:lang w:val="en-US"/>
        </w:rPr>
        <w:t xml:space="preserve">, where each </w:t>
      </w:r>
      <w:r w:rsidRPr="00C56F40">
        <w:rPr>
          <w:rFonts w:ascii="Cambria Math" w:eastAsia="Cambria Math" w:hAnsi="Cambria Math" w:cs="Cambria Math"/>
          <w:i/>
          <w:iCs/>
          <w:lang w:val="en-US"/>
        </w:rPr>
        <w:t>r_{ij}</w:t>
      </w:r>
      <w:r w:rsidRPr="00C56F40">
        <w:rPr>
          <w:color w:val="000000"/>
          <w:lang w:val="en-US"/>
        </w:rPr>
        <w:t xml:space="preserve"> represents the probabilistic relational strength between two observables. Relations are context-sensitive and emergent: they are not predefined by the architecture but discovered through stochastic exploration of the adjacency space generated at Layer 1. This design choice directly implements Barabási's (2002) insight that complex relational structures, including scale-free topologies and rich-club organization, arise from simple local attachment rules applied to basic relational substrates.</w:t>
      </w:r>
    </w:p>
    <w:p w14:paraId="3AA8358A" w14:textId="77777777" w:rsidR="00073E82" w:rsidRPr="00C56F40" w:rsidRDefault="00000000">
      <w:pPr>
        <w:spacing w:after="160" w:line="360" w:lineRule="auto"/>
        <w:ind w:firstLine="720"/>
        <w:jc w:val="both"/>
        <w:rPr>
          <w:lang w:val="en-US"/>
        </w:rPr>
      </w:pPr>
      <w:r w:rsidRPr="00C56F40">
        <w:rPr>
          <w:color w:val="000000"/>
          <w:lang w:val="en-US"/>
        </w:rPr>
        <w:t xml:space="preserve">The relational structure of Layer 2 is organized into three sublayers of increasing order. Direct correlations </w:t>
      </w:r>
      <w:r w:rsidRPr="00C56F40">
        <w:rPr>
          <w:rFonts w:ascii="Cambria Math" w:eastAsia="Cambria Math" w:hAnsi="Cambria Math" w:cs="Cambria Math"/>
          <w:i/>
          <w:iCs/>
          <w:lang w:val="en-US"/>
        </w:rPr>
        <w:t>r^{(1)}_{ij}</w:t>
      </w:r>
      <w:r w:rsidRPr="00C56F40">
        <w:rPr>
          <w:color w:val="000000"/>
          <w:lang w:val="en-US"/>
        </w:rPr>
        <w:t xml:space="preserve"> capture synchronous co-occurrences between pairs of observables without implying directionality. Functional dependencies </w:t>
      </w:r>
      <w:r w:rsidRPr="00C56F40">
        <w:rPr>
          <w:rFonts w:ascii="Cambria Math" w:eastAsia="Cambria Math" w:hAnsi="Cambria Math" w:cs="Cambria Math"/>
          <w:i/>
          <w:iCs/>
          <w:lang w:val="en-US"/>
        </w:rPr>
        <w:t>r^{(2)}_{ij}</w:t>
      </w:r>
      <w:r w:rsidRPr="00C56F40">
        <w:rPr>
          <w:color w:val="000000"/>
          <w:lang w:val="en-US"/>
        </w:rPr>
        <w:t xml:space="preserve"> represent asymmetric probabilistic influence, formalized as conditional probabilities </w:t>
      </w:r>
      <w:r w:rsidRPr="00C56F40">
        <w:rPr>
          <w:rFonts w:ascii="Cambria Math" w:eastAsia="Cambria Math" w:hAnsi="Cambria Math" w:cs="Cambria Math"/>
          <w:i/>
          <w:iCs/>
          <w:lang w:val="en-US"/>
        </w:rPr>
        <w:t>P(o_j | o_i)</w:t>
      </w:r>
      <w:r w:rsidRPr="00C56F40">
        <w:rPr>
          <w:color w:val="000000"/>
          <w:lang w:val="en-US"/>
        </w:rPr>
        <w:t xml:space="preserve"> exceeding a threshold </w:t>
      </w:r>
      <w:r>
        <w:rPr>
          <w:rFonts w:ascii="Cambria Math" w:eastAsia="Cambria Math" w:hAnsi="Cambria Math" w:cs="Cambria Math"/>
          <w:i/>
          <w:iCs/>
        </w:rPr>
        <w:t>τ</w:t>
      </w:r>
      <w:r w:rsidRPr="00C56F40">
        <w:rPr>
          <w:color w:val="000000"/>
          <w:lang w:val="en-US"/>
        </w:rPr>
        <w:t xml:space="preserve">. Higher-order motifs </w:t>
      </w:r>
      <w:r w:rsidRPr="00C56F40">
        <w:rPr>
          <w:rFonts w:ascii="Cambria Math" w:eastAsia="Cambria Math" w:hAnsi="Cambria Math" w:cs="Cambria Math"/>
          <w:i/>
          <w:iCs/>
          <w:lang w:val="en-US"/>
        </w:rPr>
        <w:t>r^{(3)}_{ijk}</w:t>
      </w:r>
      <w:r w:rsidRPr="00C56F40">
        <w:rPr>
          <w:color w:val="000000"/>
          <w:lang w:val="en-US"/>
        </w:rPr>
        <w:t xml:space="preserve"> are recurring relational patterns among triplets or larger sets of observables, detected through tensor decomposition of the multi-way adjacency array </w:t>
      </w:r>
      <w:r w:rsidRPr="00C56F40">
        <w:rPr>
          <w:rFonts w:ascii="Cambria Math" w:eastAsia="Cambria Math" w:hAnsi="Cambria Math" w:cs="Cambria Math"/>
          <w:i/>
          <w:iCs/>
          <w:lang w:val="en-US"/>
        </w:rPr>
        <w:t>T^{(k)}</w:t>
      </w:r>
      <w:r w:rsidRPr="00C56F40">
        <w:rPr>
          <w:color w:val="000000"/>
          <w:lang w:val="en-US"/>
        </w:rPr>
        <w:t xml:space="preserve">. Aerts' (2009) quantum-inspired probabilistic framework provides theoretical grounding for the possibility that </w:t>
      </w:r>
      <w:r w:rsidRPr="00C56F40">
        <w:rPr>
          <w:rFonts w:ascii="Cambria Math" w:eastAsia="Cambria Math" w:hAnsi="Cambria Math" w:cs="Cambria Math"/>
          <w:i/>
          <w:iCs/>
          <w:lang w:val="en-US"/>
        </w:rPr>
        <w:t>r_{ij}</w:t>
      </w:r>
      <w:r w:rsidRPr="00C56F40">
        <w:rPr>
          <w:color w:val="000000"/>
          <w:lang w:val="en-US"/>
        </w:rPr>
        <w:t xml:space="preserve"> can take complex values when observables are superposed, enabling Layer 2 to model ambiguous or overlapping associations that would collapse under classical bivalent logic.</w:t>
      </w:r>
    </w:p>
    <w:p w14:paraId="621AC021" w14:textId="77777777" w:rsidR="00073E82" w:rsidRPr="00C56F40" w:rsidRDefault="00000000">
      <w:pPr>
        <w:spacing w:after="160" w:line="360" w:lineRule="auto"/>
        <w:ind w:firstLine="720"/>
        <w:jc w:val="both"/>
        <w:rPr>
          <w:lang w:val="en-US"/>
        </w:rPr>
      </w:pPr>
      <w:r w:rsidRPr="00C56F40">
        <w:rPr>
          <w:color w:val="000000"/>
          <w:lang w:val="en-US"/>
        </w:rPr>
        <w:t xml:space="preserve">The primary computational risk at Layer 2 is the proliferation of spurious correlations as the number of observables grows: for </w:t>
      </w:r>
      <w:r w:rsidRPr="00C56F40">
        <w:rPr>
          <w:rFonts w:ascii="Cambria Math" w:eastAsia="Cambria Math" w:hAnsi="Cambria Math" w:cs="Cambria Math"/>
          <w:i/>
          <w:iCs/>
          <w:lang w:val="en-US"/>
        </w:rPr>
        <w:t>|O| = n</w:t>
      </w:r>
      <w:r w:rsidRPr="00C56F40">
        <w:rPr>
          <w:color w:val="000000"/>
          <w:lang w:val="en-US"/>
        </w:rPr>
        <w:t xml:space="preserve"> observables, the number of possible pairwise relations is </w:t>
      </w:r>
      <w:r w:rsidRPr="00C56F40">
        <w:rPr>
          <w:rFonts w:ascii="Cambria Math" w:eastAsia="Cambria Math" w:hAnsi="Cambria Math" w:cs="Cambria Math"/>
          <w:i/>
          <w:iCs/>
          <w:lang w:val="en-US"/>
        </w:rPr>
        <w:t>O(n²)</w:t>
      </w:r>
      <w:r w:rsidRPr="00C56F40">
        <w:rPr>
          <w:color w:val="000000"/>
          <w:lang w:val="en-US"/>
        </w:rPr>
        <w:t xml:space="preserve">, and tensor-order-3 motifs scale as </w:t>
      </w:r>
      <w:r w:rsidRPr="00C56F40">
        <w:rPr>
          <w:rFonts w:ascii="Cambria Math" w:eastAsia="Cambria Math" w:hAnsi="Cambria Math" w:cs="Cambria Math"/>
          <w:i/>
          <w:iCs/>
          <w:lang w:val="en-US"/>
        </w:rPr>
        <w:t>O(n³)</w:t>
      </w:r>
      <w:r w:rsidRPr="00C56F40">
        <w:rPr>
          <w:color w:val="000000"/>
          <w:lang w:val="en-US"/>
        </w:rPr>
        <w:t>. Effective pruning strategies, including significance testing against null models, permutation-based correction for multiple comparisons, and regularization of the tensor decomposition, are necessary to prevent the upper layers from inheriting noise masquerading as structure. Empirically, Layer 2 corresponds to the emergence of motif structure in neural circuits (Sporns &amp; Kötter, 2004), to the first level of correlation structure in ecological networks (Camazine et al., 2001), and to the low-level syntactic dependencies that emerge in the first attention heads of transformer models (Clark et al., 2019).</w:t>
      </w:r>
    </w:p>
    <w:p w14:paraId="37499964" w14:textId="77777777" w:rsidR="00073E82" w:rsidRPr="00C56F40" w:rsidRDefault="00000000">
      <w:pPr>
        <w:pStyle w:val="Kop2"/>
        <w:rPr>
          <w:lang w:val="en-US"/>
        </w:rPr>
      </w:pPr>
      <w:r w:rsidRPr="00C56F40">
        <w:rPr>
          <w:color w:val="000000"/>
          <w:lang w:val="en-US"/>
        </w:rPr>
        <w:t>3.3 Layer 3: Functional Emergence</w:t>
      </w:r>
    </w:p>
    <w:p w14:paraId="1D8E5E48" w14:textId="77777777" w:rsidR="00073E82" w:rsidRPr="00C56F40" w:rsidRDefault="00000000">
      <w:pPr>
        <w:spacing w:after="160" w:line="360" w:lineRule="auto"/>
        <w:ind w:firstLine="720"/>
        <w:jc w:val="both"/>
        <w:rPr>
          <w:lang w:val="en-US"/>
        </w:rPr>
      </w:pPr>
      <w:r w:rsidRPr="00C56F40">
        <w:rPr>
          <w:color w:val="000000"/>
          <w:lang w:val="en-US"/>
        </w:rPr>
        <w:t xml:space="preserve">Layer 3 identifies cohesive functional entities within the relational structure of Layer 2. Formally, </w:t>
      </w:r>
      <w:r w:rsidRPr="00C56F40">
        <w:rPr>
          <w:rFonts w:ascii="Cambria Math" w:eastAsia="Cambria Math" w:hAnsi="Cambria Math" w:cs="Cambria Math"/>
          <w:i/>
          <w:iCs/>
          <w:lang w:val="en-US"/>
        </w:rPr>
        <w:t>F = {f_k | f_k ⊆ R}</w:t>
      </w:r>
      <w:r w:rsidRPr="00C56F40">
        <w:rPr>
          <w:color w:val="000000"/>
          <w:lang w:val="en-US"/>
        </w:rPr>
        <w:t xml:space="preserve">, where each </w:t>
      </w:r>
      <w:r w:rsidRPr="00C56F40">
        <w:rPr>
          <w:rFonts w:ascii="Cambria Math" w:eastAsia="Cambria Math" w:hAnsi="Cambria Math" w:cs="Cambria Math"/>
          <w:i/>
          <w:iCs/>
          <w:lang w:val="en-US"/>
        </w:rPr>
        <w:t>f_k</w:t>
      </w:r>
      <w:r w:rsidRPr="00C56F40">
        <w:rPr>
          <w:color w:val="000000"/>
          <w:lang w:val="en-US"/>
        </w:rPr>
        <w:t xml:space="preserve"> is a cluster of relations forming a stable, context-sensitive functional unit. The transition from Layer 2 to Layer 3 is the emergence of function from relation: groups of correlations that collectively perform a stable informational role, analogous to the emergence of protein function from amino-acid interactions or of syntactic constituent structure from lexical co-occurrence statistics.</w:t>
      </w:r>
    </w:p>
    <w:p w14:paraId="79C3B889" w14:textId="77777777" w:rsidR="00073E82" w:rsidRPr="00C56F40" w:rsidRDefault="00000000">
      <w:pPr>
        <w:spacing w:after="160" w:line="360" w:lineRule="auto"/>
        <w:ind w:firstLine="720"/>
        <w:jc w:val="both"/>
        <w:rPr>
          <w:lang w:val="en-US"/>
        </w:rPr>
      </w:pPr>
      <w:r w:rsidRPr="00C56F40">
        <w:rPr>
          <w:color w:val="000000"/>
          <w:lang w:val="en-US"/>
        </w:rPr>
        <w:t xml:space="preserve">Functional entities are represented as hyperedges in a hypergraph </w:t>
      </w:r>
      <w:r w:rsidRPr="00C56F40">
        <w:rPr>
          <w:rFonts w:ascii="Cambria Math" w:eastAsia="Cambria Math" w:hAnsi="Cambria Math" w:cs="Cambria Math"/>
          <w:i/>
          <w:iCs/>
          <w:lang w:val="en-US"/>
        </w:rPr>
        <w:t>H = (O, E)</w:t>
      </w:r>
      <w:r w:rsidRPr="00C56F40">
        <w:rPr>
          <w:color w:val="000000"/>
          <w:lang w:val="en-US"/>
        </w:rPr>
        <w:t xml:space="preserve"> where each </w:t>
      </w:r>
      <w:r w:rsidRPr="00C56F40">
        <w:rPr>
          <w:rFonts w:ascii="Cambria Math" w:eastAsia="Cambria Math" w:hAnsi="Cambria Math" w:cs="Cambria Math"/>
          <w:i/>
          <w:iCs/>
          <w:lang w:val="en-US"/>
        </w:rPr>
        <w:t>e_k ∈ E</w:t>
      </w:r>
      <w:r w:rsidRPr="00C56F40">
        <w:rPr>
          <w:color w:val="000000"/>
          <w:lang w:val="en-US"/>
        </w:rPr>
        <w:t xml:space="preserve"> corresponds to </w:t>
      </w:r>
      <w:r w:rsidRPr="00C56F40">
        <w:rPr>
          <w:rFonts w:ascii="Cambria Math" w:eastAsia="Cambria Math" w:hAnsi="Cambria Math" w:cs="Cambria Math"/>
          <w:i/>
          <w:iCs/>
          <w:lang w:val="en-US"/>
        </w:rPr>
        <w:t>f_k</w:t>
      </w:r>
      <w:r w:rsidRPr="00C56F40">
        <w:rPr>
          <w:color w:val="000000"/>
          <w:lang w:val="en-US"/>
        </w:rPr>
        <w:t xml:space="preserve">. The hypergraph formalism is essential because functional entities are generally polyadic: a predator-prey-habitat triad, a semantic frame, or a social coalition are all functional units that cannot be decomposed into pairwise relations without losing their functional character. Simon's (1962) architecture of complexity provides the theoretical </w:t>
      </w:r>
      <w:r w:rsidRPr="00C56F40">
        <w:rPr>
          <w:color w:val="000000"/>
          <w:lang w:val="en-US"/>
        </w:rPr>
        <w:lastRenderedPageBreak/>
        <w:t xml:space="preserve">grounding: hierarchical functional organization arises naturally from lower-level interactions when the interactions within a functional unit are substantially stronger than the interactions between units. The Nexus Framework makes this principle operational by requiring that </w:t>
      </w:r>
      <w:r w:rsidRPr="00C56F40">
        <w:rPr>
          <w:rFonts w:ascii="Cambria Math" w:eastAsia="Cambria Math" w:hAnsi="Cambria Math" w:cs="Cambria Math"/>
          <w:i/>
          <w:iCs/>
          <w:lang w:val="en-US"/>
        </w:rPr>
        <w:t>f_k</w:t>
      </w:r>
      <w:r w:rsidRPr="00C56F40">
        <w:rPr>
          <w:color w:val="000000"/>
          <w:lang w:val="en-US"/>
        </w:rPr>
        <w:t xml:space="preserve"> exhibit statistically significant modularity, measured by the ratio of within-cluster to between-cluster relational density, relative to a null model of random relational assignment.</w:t>
      </w:r>
    </w:p>
    <w:p w14:paraId="648B4B71" w14:textId="77777777" w:rsidR="00073E82" w:rsidRPr="00C56F40" w:rsidRDefault="00000000">
      <w:pPr>
        <w:spacing w:after="160" w:line="360" w:lineRule="auto"/>
        <w:ind w:firstLine="720"/>
        <w:jc w:val="both"/>
        <w:rPr>
          <w:lang w:val="en-US"/>
        </w:rPr>
      </w:pPr>
      <w:r w:rsidRPr="00C56F40">
        <w:rPr>
          <w:color w:val="000000"/>
          <w:lang w:val="en-US"/>
        </w:rPr>
        <w:t>Three sublayers of functional organization are distinguished: micro-functions representing localized feedback loops, meso-functions aggregating micro-functions into semi-stable adaptive networks, and macro-functions integrating meso-functions into system-wide behavioral patterns. This three-level organization within a single layer reflects the empirical observation that functional hierarchies in complex systems exhibit nested modularity across multiple spatial and temporal scales (Ravasz et al., 2002). The risk at Layer 3 is functional fragility: if the relational substrate at Layer 2 is sparse or noisy, functional entities may be spurious or unstable. Validation requires testing whether designated functional units persist across perturbations of the underlying relational graph and whether their removal disrupts system-level behavior, as measured by information-theoretic diagnostics such as transfer entropy (Schreiber, 2000).</w:t>
      </w:r>
    </w:p>
    <w:p w14:paraId="4EDA08A3" w14:textId="77777777" w:rsidR="00073E82" w:rsidRPr="00C56F40" w:rsidRDefault="00000000">
      <w:pPr>
        <w:pStyle w:val="Kop2"/>
        <w:rPr>
          <w:lang w:val="en-US"/>
        </w:rPr>
      </w:pPr>
      <w:r w:rsidRPr="00C56F40">
        <w:rPr>
          <w:color w:val="000000"/>
          <w:lang w:val="en-US"/>
        </w:rPr>
        <w:t>3.4 Layer 4: Dynamic Adaptation and Feedback</w:t>
      </w:r>
    </w:p>
    <w:p w14:paraId="1D8A4636" w14:textId="77777777" w:rsidR="00073E82" w:rsidRPr="00C56F40" w:rsidRDefault="00000000">
      <w:pPr>
        <w:spacing w:after="160" w:line="360" w:lineRule="auto"/>
        <w:ind w:firstLine="720"/>
        <w:jc w:val="both"/>
        <w:rPr>
          <w:lang w:val="en-US"/>
        </w:rPr>
      </w:pPr>
      <w:r w:rsidRPr="00C56F40">
        <w:rPr>
          <w:color w:val="000000"/>
          <w:lang w:val="en-US"/>
        </w:rPr>
        <w:t xml:space="preserve">Layer 4 introduces temporal dynamics by associating each functional entity </w:t>
      </w:r>
      <w:r w:rsidRPr="00C56F40">
        <w:rPr>
          <w:rFonts w:ascii="Cambria Math" w:eastAsia="Cambria Math" w:hAnsi="Cambria Math" w:cs="Cambria Math"/>
          <w:i/>
          <w:iCs/>
          <w:lang w:val="en-US"/>
        </w:rPr>
        <w:t>f_k</w:t>
      </w:r>
      <w:r w:rsidRPr="00C56F40">
        <w:rPr>
          <w:color w:val="000000"/>
          <w:lang w:val="en-US"/>
        </w:rPr>
        <w:t xml:space="preserve"> with a state vector </w:t>
      </w:r>
      <w:r w:rsidRPr="00C56F40">
        <w:rPr>
          <w:rFonts w:ascii="Cambria Math" w:eastAsia="Cambria Math" w:hAnsi="Cambria Math" w:cs="Cambria Math"/>
          <w:i/>
          <w:iCs/>
          <w:lang w:val="en-US"/>
        </w:rPr>
        <w:t>S_k(t)</w:t>
      </w:r>
      <w:r w:rsidRPr="00C56F40">
        <w:rPr>
          <w:color w:val="000000"/>
          <w:lang w:val="en-US"/>
        </w:rPr>
        <w:t xml:space="preserve"> that evolves under a transition function </w:t>
      </w:r>
      <w:r>
        <w:rPr>
          <w:rFonts w:ascii="Cambria Math" w:eastAsia="Cambria Math" w:hAnsi="Cambria Math" w:cs="Cambria Math"/>
          <w:i/>
          <w:iCs/>
        </w:rPr>
        <w:t>Φ</w:t>
      </w:r>
      <w:r w:rsidRPr="00C56F40">
        <w:rPr>
          <w:rFonts w:ascii="Cambria Math" w:eastAsia="Cambria Math" w:hAnsi="Cambria Math" w:cs="Cambria Math"/>
          <w:i/>
          <w:iCs/>
          <w:lang w:val="en-US"/>
        </w:rPr>
        <w:t>_k: S_k(t) × E_k → S_k(t+1)</w:t>
      </w:r>
      <w:r w:rsidRPr="00C56F40">
        <w:rPr>
          <w:color w:val="000000"/>
          <w:lang w:val="en-US"/>
        </w:rPr>
        <w:t xml:space="preserve">, where </w:t>
      </w:r>
      <w:r w:rsidRPr="00C56F40">
        <w:rPr>
          <w:rFonts w:ascii="Cambria Math" w:eastAsia="Cambria Math" w:hAnsi="Cambria Math" w:cs="Cambria Math"/>
          <w:i/>
          <w:iCs/>
          <w:lang w:val="en-US"/>
        </w:rPr>
        <w:t>E_k</w:t>
      </w:r>
      <w:r w:rsidRPr="00C56F40">
        <w:rPr>
          <w:color w:val="000000"/>
          <w:lang w:val="en-US"/>
        </w:rPr>
        <w:t xml:space="preserve"> denotes internal and external influencing factors. The time parameter </w:t>
      </w:r>
      <w:r w:rsidRPr="00C56F40">
        <w:rPr>
          <w:rFonts w:ascii="Cambria Math" w:eastAsia="Cambria Math" w:hAnsi="Cambria Math" w:cs="Cambria Math"/>
          <w:i/>
          <w:iCs/>
          <w:lang w:val="en-US"/>
        </w:rPr>
        <w:t>t</w:t>
      </w:r>
      <w:r w:rsidRPr="00C56F40">
        <w:rPr>
          <w:color w:val="000000"/>
          <w:lang w:val="en-US"/>
        </w:rPr>
        <w:t xml:space="preserve"> here is an abstract simulation index rather than physical clock time; it represents a notional ordering of state transitions that need not correspond to human temporal perception.</w:t>
      </w:r>
    </w:p>
    <w:p w14:paraId="5CB435CB" w14:textId="77777777" w:rsidR="00073E82" w:rsidRPr="00C56F40" w:rsidRDefault="00000000">
      <w:pPr>
        <w:spacing w:after="160" w:line="360" w:lineRule="auto"/>
        <w:ind w:firstLine="720"/>
        <w:jc w:val="both"/>
        <w:rPr>
          <w:lang w:val="en-US"/>
        </w:rPr>
      </w:pPr>
      <w:r w:rsidRPr="00C56F40">
        <w:rPr>
          <w:color w:val="000000"/>
          <w:lang w:val="en-US"/>
        </w:rPr>
        <w:t xml:space="preserve">Feedback is formalized as cyclic dependencies among state vectors: </w:t>
      </w:r>
      <w:r w:rsidRPr="00C56F40">
        <w:rPr>
          <w:rFonts w:ascii="Cambria Math" w:eastAsia="Cambria Math" w:hAnsi="Cambria Math" w:cs="Cambria Math"/>
          <w:i/>
          <w:iCs/>
          <w:lang w:val="en-US"/>
        </w:rPr>
        <w:t>S_k(t+1)</w:t>
      </w:r>
      <w:r w:rsidRPr="00C56F40">
        <w:rPr>
          <w:color w:val="000000"/>
          <w:lang w:val="en-US"/>
        </w:rPr>
        <w:t xml:space="preserve"> may influence </w:t>
      </w:r>
      <w:r w:rsidRPr="00C56F40">
        <w:rPr>
          <w:rFonts w:ascii="Cambria Math" w:eastAsia="Cambria Math" w:hAnsi="Cambria Math" w:cs="Cambria Math"/>
          <w:i/>
          <w:iCs/>
          <w:lang w:val="en-US"/>
        </w:rPr>
        <w:t>S_j(t+1)</w:t>
      </w:r>
      <w:r w:rsidRPr="00C56F40">
        <w:rPr>
          <w:color w:val="000000"/>
          <w:lang w:val="en-US"/>
        </w:rPr>
        <w:t xml:space="preserve"> for connected functional entities </w:t>
      </w:r>
      <w:r w:rsidRPr="00C56F40">
        <w:rPr>
          <w:rFonts w:ascii="Cambria Math" w:eastAsia="Cambria Math" w:hAnsi="Cambria Math" w:cs="Cambria Math"/>
          <w:i/>
          <w:iCs/>
          <w:lang w:val="en-US"/>
        </w:rPr>
        <w:t>f_j</w:t>
      </w:r>
      <w:r w:rsidRPr="00C56F40">
        <w:rPr>
          <w:color w:val="000000"/>
          <w:lang w:val="en-US"/>
        </w:rPr>
        <w:t>, creating closed loops of mutual influence. Wiener's (1948) cybernetics provides the conceptual vocabulary: negative feedback enables self-stabilization, while positive feedback generates amplification and potential instability. Holland's (1995) complex adaptive systems framework extends this by showing that feedback dynamics over heterogeneous agent populations generate non-linear, emergent global behaviors that cannot be predicted from the feedback rules of individual agents. At Layer 4, the system begins to exhibit the hallmarks of complex adaptive behavior: sensitivity to initial conditions, non-linear response to perturbation, and the potential for phase transitions between qualitatively different dynamic regimes.</w:t>
      </w:r>
    </w:p>
    <w:p w14:paraId="0880A516" w14:textId="77777777" w:rsidR="00073E82" w:rsidRPr="00C56F40" w:rsidRDefault="00000000">
      <w:pPr>
        <w:spacing w:after="160" w:line="360" w:lineRule="auto"/>
        <w:ind w:firstLine="720"/>
        <w:jc w:val="both"/>
        <w:rPr>
          <w:lang w:val="en-US"/>
        </w:rPr>
      </w:pPr>
      <w:r w:rsidRPr="00C56F40">
        <w:rPr>
          <w:color w:val="000000"/>
          <w:lang w:val="en-US"/>
        </w:rPr>
        <w:t>The formal analysis of Layer 4 dynamics relies on the computation of Lyapunov exponents to assess the sensitivity of trajectories to initial conditions, bifurcation analysis to map the phase space as parameters vary, and early-warning signal detection (Scheffer et al., 2009) to identify approaching critical transitions before they occur. These diagnostics are not merely retrospective but prospective: a well-instrumented Layer 4 system can provide advance warning of its own approaching instabilities, enabling interventions that maintain the system within a desired dynamical regime.</w:t>
      </w:r>
    </w:p>
    <w:p w14:paraId="4A49E587" w14:textId="77777777" w:rsidR="00073E82" w:rsidRPr="00C56F40" w:rsidRDefault="00000000">
      <w:pPr>
        <w:pStyle w:val="Kop2"/>
        <w:rPr>
          <w:lang w:val="en-US"/>
        </w:rPr>
      </w:pPr>
      <w:r w:rsidRPr="00C56F40">
        <w:rPr>
          <w:color w:val="000000"/>
          <w:lang w:val="en-US"/>
        </w:rPr>
        <w:t>3.5 Layer 5: Autonomous Optimization and Learning</w:t>
      </w:r>
    </w:p>
    <w:p w14:paraId="0FF75027" w14:textId="77777777" w:rsidR="00073E82" w:rsidRPr="00C56F40" w:rsidRDefault="00000000">
      <w:pPr>
        <w:spacing w:after="160" w:line="360" w:lineRule="auto"/>
        <w:ind w:firstLine="720"/>
        <w:jc w:val="both"/>
        <w:rPr>
          <w:lang w:val="en-US"/>
        </w:rPr>
      </w:pPr>
      <w:r w:rsidRPr="00C56F40">
        <w:rPr>
          <w:color w:val="000000"/>
          <w:lang w:val="en-US"/>
        </w:rPr>
        <w:t xml:space="preserve">Layer 5 is the first layer of self-directed evolution. Each functional entity </w:t>
      </w:r>
      <w:r w:rsidRPr="00C56F40">
        <w:rPr>
          <w:rFonts w:ascii="Cambria Math" w:eastAsia="Cambria Math" w:hAnsi="Cambria Math" w:cs="Cambria Math"/>
          <w:i/>
          <w:iCs/>
          <w:lang w:val="en-US"/>
        </w:rPr>
        <w:t>f_k</w:t>
      </w:r>
      <w:r w:rsidRPr="00C56F40">
        <w:rPr>
          <w:color w:val="000000"/>
          <w:lang w:val="en-US"/>
        </w:rPr>
        <w:t xml:space="preserve"> is equipped with a performance function </w:t>
      </w:r>
      <w:r w:rsidRPr="00C56F40">
        <w:rPr>
          <w:rFonts w:ascii="Cambria Math" w:eastAsia="Cambria Math" w:hAnsi="Cambria Math" w:cs="Cambria Math"/>
          <w:i/>
          <w:iCs/>
          <w:lang w:val="en-US"/>
        </w:rPr>
        <w:t>P_k: F × R × S → ℝ</w:t>
      </w:r>
      <w:r w:rsidRPr="00C56F40">
        <w:rPr>
          <w:color w:val="000000"/>
          <w:lang w:val="en-US"/>
        </w:rPr>
        <w:t xml:space="preserve"> and an update rule </w:t>
      </w:r>
      <w:r>
        <w:rPr>
          <w:rFonts w:ascii="Cambria Math" w:eastAsia="Cambria Math" w:hAnsi="Cambria Math" w:cs="Cambria Math"/>
          <w:i/>
          <w:iCs/>
        </w:rPr>
        <w:t>Ω</w:t>
      </w:r>
      <w:r w:rsidRPr="00C56F40">
        <w:rPr>
          <w:rFonts w:ascii="Cambria Math" w:eastAsia="Cambria Math" w:hAnsi="Cambria Math" w:cs="Cambria Math"/>
          <w:i/>
          <w:iCs/>
          <w:lang w:val="en-US"/>
        </w:rPr>
        <w:t>_k</w:t>
      </w:r>
      <w:r w:rsidRPr="00C56F40">
        <w:rPr>
          <w:color w:val="000000"/>
          <w:lang w:val="en-US"/>
        </w:rPr>
        <w:t xml:space="preserve"> such that:   </w:t>
      </w:r>
      <w:r w:rsidRPr="00C56F40">
        <w:rPr>
          <w:rFonts w:ascii="Cambria Math" w:eastAsia="Cambria Math" w:hAnsi="Cambria Math" w:cs="Cambria Math"/>
          <w:i/>
          <w:iCs/>
          <w:lang w:val="en-US"/>
        </w:rPr>
        <w:t xml:space="preserve">f_k^(t+1) = </w:t>
      </w:r>
      <w:r>
        <w:rPr>
          <w:rFonts w:ascii="Cambria Math" w:eastAsia="Cambria Math" w:hAnsi="Cambria Math" w:cs="Cambria Math"/>
          <w:i/>
          <w:iCs/>
        </w:rPr>
        <w:t>Ω</w:t>
      </w:r>
      <w:r w:rsidRPr="00C56F40">
        <w:rPr>
          <w:rFonts w:ascii="Cambria Math" w:eastAsia="Cambria Math" w:hAnsi="Cambria Math" w:cs="Cambria Math"/>
          <w:i/>
          <w:iCs/>
          <w:lang w:val="en-US"/>
        </w:rPr>
        <w:t xml:space="preserve">_k(f_k^(t), ∇P_k, </w:t>
      </w:r>
      <w:r>
        <w:rPr>
          <w:rFonts w:ascii="Cambria Math" w:eastAsia="Cambria Math" w:hAnsi="Cambria Math" w:cs="Cambria Math"/>
          <w:i/>
          <w:iCs/>
        </w:rPr>
        <w:t>ξ</w:t>
      </w:r>
      <w:r w:rsidRPr="00C56F40">
        <w:rPr>
          <w:rFonts w:ascii="Cambria Math" w:eastAsia="Cambria Math" w:hAnsi="Cambria Math" w:cs="Cambria Math"/>
          <w:i/>
          <w:iCs/>
          <w:lang w:val="en-US"/>
        </w:rPr>
        <w:t>)</w:t>
      </w:r>
      <w:r w:rsidRPr="00C56F40">
        <w:rPr>
          <w:color w:val="000000"/>
          <w:lang w:val="en-US"/>
        </w:rPr>
        <w:t xml:space="preserve">, where </w:t>
      </w:r>
      <w:r w:rsidRPr="00C56F40">
        <w:rPr>
          <w:rFonts w:ascii="Cambria Math" w:eastAsia="Cambria Math" w:hAnsi="Cambria Math" w:cs="Cambria Math"/>
          <w:i/>
          <w:iCs/>
          <w:lang w:val="en-US"/>
        </w:rPr>
        <w:t>∇P_k</w:t>
      </w:r>
      <w:r w:rsidRPr="00C56F40">
        <w:rPr>
          <w:color w:val="000000"/>
          <w:lang w:val="en-US"/>
        </w:rPr>
        <w:t xml:space="preserve"> is </w:t>
      </w:r>
      <w:r w:rsidRPr="00C56F40">
        <w:rPr>
          <w:color w:val="000000"/>
          <w:lang w:val="en-US"/>
        </w:rPr>
        <w:lastRenderedPageBreak/>
        <w:t xml:space="preserve">the gradient of performance and </w:t>
      </w:r>
      <w:r>
        <w:rPr>
          <w:rFonts w:ascii="Cambria Math" w:eastAsia="Cambria Math" w:hAnsi="Cambria Math" w:cs="Cambria Math"/>
          <w:i/>
          <w:iCs/>
        </w:rPr>
        <w:t>ξ</w:t>
      </w:r>
      <w:r w:rsidRPr="00C56F40">
        <w:rPr>
          <w:color w:val="000000"/>
          <w:lang w:val="en-US"/>
        </w:rPr>
        <w:t xml:space="preserve"> introduces stochastic exploration. This formulation generalizes gradient descent (LeCun et al., 2015) to the setting of functional entities whose internal structure may itself evolve, not merely whose parameters are updated.</w:t>
      </w:r>
    </w:p>
    <w:p w14:paraId="1DCA8F0F" w14:textId="77777777" w:rsidR="00073E82" w:rsidRPr="00C56F40" w:rsidRDefault="00000000">
      <w:pPr>
        <w:spacing w:after="160" w:line="360" w:lineRule="auto"/>
        <w:ind w:firstLine="720"/>
        <w:jc w:val="both"/>
        <w:rPr>
          <w:lang w:val="en-US"/>
        </w:rPr>
      </w:pPr>
      <w:r w:rsidRPr="00C56F40">
        <w:rPr>
          <w:color w:val="000000"/>
          <w:lang w:val="en-US"/>
        </w:rPr>
        <w:t xml:space="preserve">The stochastic term </w:t>
      </w:r>
      <w:r>
        <w:rPr>
          <w:rFonts w:ascii="Cambria Math" w:eastAsia="Cambria Math" w:hAnsi="Cambria Math" w:cs="Cambria Math"/>
          <w:i/>
          <w:iCs/>
        </w:rPr>
        <w:t>ξ</w:t>
      </w:r>
      <w:r w:rsidRPr="00C56F40">
        <w:rPr>
          <w:color w:val="000000"/>
          <w:lang w:val="en-US"/>
        </w:rPr>
        <w:t xml:space="preserve"> is essential: purely gradient-driven optimization converges to local optima and fails to explore the landscape of functional configurations. Evolutionary strategies (Rechenberg, 1973), simulated annealing (Kirkpatrick et al., 1983), and more recent meta-gradient methods (Andrychowicz et al., 2016) all provide principled approaches to the exploration-exploitation trade-off in Layer 5. The autonomous character of Layer 5 optimization means that the system modifies its own functional organization without human guidance. This creates the possibility of discovering novel functional configurations that human designers would not have anticipated, but it also creates the risk of optimization toward objectives that diverge from human intentions. Layer 5 therefore requires careful specification of performance functions that are aligned with the broader goals of the architecture.</w:t>
      </w:r>
    </w:p>
    <w:p w14:paraId="7EDEF056" w14:textId="77777777" w:rsidR="00073E82" w:rsidRPr="00C56F40" w:rsidRDefault="00000000">
      <w:pPr>
        <w:pStyle w:val="Kop2"/>
        <w:rPr>
          <w:lang w:val="en-US"/>
        </w:rPr>
      </w:pPr>
      <w:r w:rsidRPr="00C56F40">
        <w:rPr>
          <w:color w:val="000000"/>
          <w:lang w:val="en-US"/>
        </w:rPr>
        <w:t>3.6 Layers 6 and 7: Meta-Learning and Emergent Self-Awareness</w:t>
      </w:r>
    </w:p>
    <w:p w14:paraId="49B714CB" w14:textId="77777777" w:rsidR="00073E82" w:rsidRPr="00C56F40" w:rsidRDefault="00000000">
      <w:pPr>
        <w:spacing w:after="160" w:line="360" w:lineRule="auto"/>
        <w:ind w:firstLine="720"/>
        <w:jc w:val="both"/>
        <w:rPr>
          <w:lang w:val="en-US"/>
        </w:rPr>
      </w:pPr>
      <w:r w:rsidRPr="00C56F40">
        <w:rPr>
          <w:color w:val="000000"/>
          <w:lang w:val="en-US"/>
        </w:rPr>
        <w:t xml:space="preserve">Layer 6 implements meta-learning: the capacity to learn how to learn. Formally, the system optimizes not only performance functions </w:t>
      </w:r>
      <w:r w:rsidRPr="00C56F40">
        <w:rPr>
          <w:rFonts w:ascii="Cambria Math" w:eastAsia="Cambria Math" w:hAnsi="Cambria Math" w:cs="Cambria Math"/>
          <w:i/>
          <w:iCs/>
          <w:lang w:val="en-US"/>
        </w:rPr>
        <w:t>P_k</w:t>
      </w:r>
      <w:r w:rsidRPr="00C56F40">
        <w:rPr>
          <w:color w:val="000000"/>
          <w:lang w:val="en-US"/>
        </w:rPr>
        <w:t xml:space="preserve"> but also the update rules </w:t>
      </w:r>
      <w:r>
        <w:rPr>
          <w:rFonts w:ascii="Cambria Math" w:eastAsia="Cambria Math" w:hAnsi="Cambria Math" w:cs="Cambria Math"/>
          <w:i/>
          <w:iCs/>
        </w:rPr>
        <w:t>Ω</w:t>
      </w:r>
      <w:r w:rsidRPr="00C56F40">
        <w:rPr>
          <w:rFonts w:ascii="Cambria Math" w:eastAsia="Cambria Math" w:hAnsi="Cambria Math" w:cs="Cambria Math"/>
          <w:i/>
          <w:iCs/>
          <w:lang w:val="en-US"/>
        </w:rPr>
        <w:t>_k</w:t>
      </w:r>
      <w:r w:rsidRPr="00C56F40">
        <w:rPr>
          <w:color w:val="000000"/>
          <w:lang w:val="en-US"/>
        </w:rPr>
        <w:t xml:space="preserve"> themselves, yielding a second-order optimization problem. Model-agnostic meta-learning (Finn, Abbeel, &amp; Levine, 2018) provides a concrete algorithmic realization: MAML seeks initial parameter settings from which a small number of gradient steps on a new task yields good performance, effectively learning a prior over task-specific solutions. In the Nexus Framework, meta-learning at Layer 6 enables the system to transfer functional organization across task domains, generalize to novel environments with minimal exposure, and dynamically adjust its learning algorithm in response to feedback from Layers 4 and 5.</w:t>
      </w:r>
    </w:p>
    <w:p w14:paraId="0FA58BD6" w14:textId="77777777" w:rsidR="00073E82" w:rsidRPr="00C56F40" w:rsidRDefault="00000000">
      <w:pPr>
        <w:spacing w:after="160" w:line="360" w:lineRule="auto"/>
        <w:ind w:firstLine="720"/>
        <w:jc w:val="both"/>
        <w:rPr>
          <w:lang w:val="en-US"/>
        </w:rPr>
      </w:pPr>
      <w:r w:rsidRPr="00C56F40">
        <w:rPr>
          <w:color w:val="000000"/>
          <w:lang w:val="en-US"/>
        </w:rPr>
        <w:t>Layer 7 introduces emergent self-awareness: the system constructs and maintains an internal representation of its own operational state, enabling it to reason about its own processing, detect inconsistencies in its functional organization, and initiate corrective action. This is not consciousness in the phenomenological sense; it is a formal self-model, a computational structure that encodes the system's current functional configuration, its recent operational history, and its projected future states. The emergence of self-awareness at Layer 7 marks the transition from reactive to reflective intelligence: the system can now distinguish between its representations of the external world and its representations of its own representational processes.</w:t>
      </w:r>
    </w:p>
    <w:p w14:paraId="5CF24D48" w14:textId="77777777" w:rsidR="00073E82" w:rsidRPr="00C56F40" w:rsidRDefault="00000000">
      <w:pPr>
        <w:spacing w:after="160" w:line="360" w:lineRule="auto"/>
        <w:ind w:firstLine="720"/>
        <w:jc w:val="both"/>
        <w:rPr>
          <w:lang w:val="en-US"/>
        </w:rPr>
      </w:pPr>
      <w:r w:rsidRPr="00C56F40">
        <w:rPr>
          <w:color w:val="000000"/>
          <w:lang w:val="en-US"/>
        </w:rPr>
        <w:t xml:space="preserve">The formal operator of Layer 7 is a global synthesis function </w:t>
      </w:r>
      <w:r>
        <w:rPr>
          <w:rFonts w:ascii="Cambria Math" w:eastAsia="Cambria Math" w:hAnsi="Cambria Math" w:cs="Cambria Math"/>
          <w:i/>
          <w:iCs/>
        </w:rPr>
        <w:t>Ψ</w:t>
      </w:r>
      <w:r w:rsidRPr="00C56F40">
        <w:rPr>
          <w:color w:val="000000"/>
          <w:lang w:val="en-US"/>
        </w:rPr>
        <w:t xml:space="preserve"> that integrates the outputs of all lower layers into a coherent, hierarchically organized state representation </w:t>
      </w:r>
      <w:r w:rsidRPr="00C56F40">
        <w:rPr>
          <w:rFonts w:ascii="Cambria Math" w:eastAsia="Cambria Math" w:hAnsi="Cambria Math" w:cs="Cambria Math"/>
          <w:i/>
          <w:iCs/>
          <w:lang w:val="en-US"/>
        </w:rPr>
        <w:t xml:space="preserve">G_t = </w:t>
      </w:r>
      <w:r>
        <w:rPr>
          <w:rFonts w:ascii="Cambria Math" w:eastAsia="Cambria Math" w:hAnsi="Cambria Math" w:cs="Cambria Math"/>
          <w:i/>
          <w:iCs/>
        </w:rPr>
        <w:t>Ψ</w:t>
      </w:r>
      <w:r w:rsidRPr="00C56F40">
        <w:rPr>
          <w:rFonts w:ascii="Cambria Math" w:eastAsia="Cambria Math" w:hAnsi="Cambria Math" w:cs="Cambria Math"/>
          <w:i/>
          <w:iCs/>
          <w:lang w:val="en-US"/>
        </w:rPr>
        <w:t>(L_1, L_2, ..., L_6, t)</w:t>
      </w:r>
      <w:r w:rsidRPr="00C56F40">
        <w:rPr>
          <w:color w:val="000000"/>
          <w:lang w:val="en-US"/>
        </w:rPr>
        <w:t xml:space="preserve">. The synthesis operator must satisfy an idempotency condition: applying </w:t>
      </w:r>
      <w:r>
        <w:rPr>
          <w:rFonts w:ascii="Cambria Math" w:eastAsia="Cambria Math" w:hAnsi="Cambria Math" w:cs="Cambria Math"/>
          <w:i/>
          <w:iCs/>
        </w:rPr>
        <w:t>Ψ</w:t>
      </w:r>
      <w:r w:rsidRPr="00C56F40">
        <w:rPr>
          <w:color w:val="000000"/>
          <w:lang w:val="en-US"/>
        </w:rPr>
        <w:t xml:space="preserve"> twice does not change the result, ensuring that self-monitoring does not generate an infinite regress of self-awareness. The coherence of the global state representation is monitored through information-theoretic measures, specifically the integrated information </w:t>
      </w:r>
      <w:r>
        <w:rPr>
          <w:rFonts w:ascii="Cambria Math" w:eastAsia="Cambria Math" w:hAnsi="Cambria Math" w:cs="Cambria Math"/>
          <w:i/>
          <w:iCs/>
        </w:rPr>
        <w:t>Φ</w:t>
      </w:r>
      <w:r w:rsidRPr="00C56F40">
        <w:rPr>
          <w:color w:val="000000"/>
          <w:lang w:val="en-US"/>
        </w:rPr>
        <w:t xml:space="preserve"> proposed by Tononi (2008), which quantifies the degree to which the global state carries information over and above the sum of its parts.</w:t>
      </w:r>
    </w:p>
    <w:p w14:paraId="568BBA5E" w14:textId="77777777" w:rsidR="00073E82" w:rsidRPr="00C56F40" w:rsidRDefault="00000000">
      <w:pPr>
        <w:rPr>
          <w:lang w:val="en-US"/>
        </w:rPr>
      </w:pPr>
      <w:r w:rsidRPr="00C56F40">
        <w:rPr>
          <w:lang w:val="en-US"/>
        </w:rPr>
        <w:br w:type="page"/>
      </w:r>
    </w:p>
    <w:p w14:paraId="4979819D" w14:textId="77777777" w:rsidR="00073E82" w:rsidRPr="00C56F40" w:rsidRDefault="00000000">
      <w:pPr>
        <w:pStyle w:val="Kop2"/>
        <w:rPr>
          <w:lang w:val="en-US"/>
        </w:rPr>
      </w:pPr>
      <w:r w:rsidRPr="00C56F40">
        <w:rPr>
          <w:color w:val="000000"/>
          <w:lang w:val="en-US"/>
        </w:rPr>
        <w:lastRenderedPageBreak/>
        <w:t>3.7 Layers 8 and 9: Temporality and Ontological Creation</w:t>
      </w:r>
    </w:p>
    <w:p w14:paraId="556E393A" w14:textId="77777777" w:rsidR="00073E82" w:rsidRPr="00C56F40" w:rsidRDefault="00000000">
      <w:pPr>
        <w:spacing w:after="160" w:line="360" w:lineRule="auto"/>
        <w:ind w:firstLine="720"/>
        <w:jc w:val="both"/>
        <w:rPr>
          <w:lang w:val="en-US"/>
        </w:rPr>
      </w:pPr>
      <w:r w:rsidRPr="00C56F40">
        <w:rPr>
          <w:color w:val="000000"/>
          <w:lang w:val="en-US"/>
        </w:rPr>
        <w:t xml:space="preserve">Layer 8 addresses temporality not as a primitive of the architecture but as an emergent construct. The temporal ordering at Layers 1-7 was a simulation index, an abstract parameter governing state transitions. Layer 8 treats this index itself as an object of representation: the system constructs an internal model of temporal flux, identifying invariants that persist across temporal shifts and transformations that generate temporal structure from atemporal observables. Formally, Layer 8 introduces a temporal representation space </w:t>
      </w:r>
      <w:r w:rsidRPr="00C56F40">
        <w:rPr>
          <w:rFonts w:ascii="Cambria Math" w:eastAsia="Cambria Math" w:hAnsi="Cambria Math" w:cs="Cambria Math"/>
          <w:i/>
          <w:iCs/>
          <w:lang w:val="en-US"/>
        </w:rPr>
        <w:t>T</w:t>
      </w:r>
      <w:r w:rsidRPr="00C56F40">
        <w:rPr>
          <w:color w:val="000000"/>
          <w:lang w:val="en-US"/>
        </w:rPr>
        <w:t xml:space="preserve"> and a flux operator </w:t>
      </w:r>
      <w:r>
        <w:rPr>
          <w:rFonts w:ascii="Cambria Math" w:eastAsia="Cambria Math" w:hAnsi="Cambria Math" w:cs="Cambria Math"/>
          <w:i/>
          <w:iCs/>
        </w:rPr>
        <w:t>Δ</w:t>
      </w:r>
      <w:r w:rsidRPr="00C56F40">
        <w:rPr>
          <w:rFonts w:ascii="Cambria Math" w:eastAsia="Cambria Math" w:hAnsi="Cambria Math" w:cs="Cambria Math"/>
          <w:i/>
          <w:iCs/>
          <w:lang w:val="en-US"/>
        </w:rPr>
        <w:t>: T → T</w:t>
      </w:r>
      <w:r w:rsidRPr="00C56F40">
        <w:rPr>
          <w:color w:val="000000"/>
          <w:lang w:val="en-US"/>
        </w:rPr>
        <w:t xml:space="preserve"> that encodes the system's model of change. The fixed points of </w:t>
      </w:r>
      <w:r>
        <w:rPr>
          <w:rFonts w:ascii="Cambria Math" w:eastAsia="Cambria Math" w:hAnsi="Cambria Math" w:cs="Cambria Math"/>
          <w:i/>
          <w:iCs/>
        </w:rPr>
        <w:t>Δ</w:t>
      </w:r>
      <w:r w:rsidRPr="00C56F40">
        <w:rPr>
          <w:color w:val="000000"/>
          <w:lang w:val="en-US"/>
        </w:rPr>
        <w:t xml:space="preserve"> are the temporal invariants, the structures that the system identifies as stable across its own temporal dynamics.</w:t>
      </w:r>
    </w:p>
    <w:p w14:paraId="00965412" w14:textId="77777777" w:rsidR="00073E82" w:rsidRPr="00C56F40" w:rsidRDefault="00000000">
      <w:pPr>
        <w:spacing w:after="160" w:line="360" w:lineRule="auto"/>
        <w:ind w:firstLine="720"/>
        <w:jc w:val="both"/>
        <w:rPr>
          <w:lang w:val="en-US"/>
        </w:rPr>
      </w:pPr>
      <w:r w:rsidRPr="00C56F40">
        <w:rPr>
          <w:color w:val="000000"/>
          <w:lang w:val="en-US"/>
        </w:rPr>
        <w:t>This formulation resonates with Rovelli's (1996) relational quantum mechanics, in which time is not an external parameter but a relational quantity constituted by the correlations among physical events. It also connects to the mathematical theory of dynamical systems, where the long-run behavior of a trajectory is captured by its attractor, an invariant set that is approached but never precisely reached. Layer 8 enables the system to reason about its own temporal horizons, to identify which of its functional configurations are stable over long time scales and which are transient, and to project its current state into a probabilistic future.</w:t>
      </w:r>
    </w:p>
    <w:p w14:paraId="2223DC88" w14:textId="77777777" w:rsidR="00073E82" w:rsidRPr="00C56F40" w:rsidRDefault="00000000">
      <w:pPr>
        <w:spacing w:after="160" w:line="360" w:lineRule="auto"/>
        <w:ind w:firstLine="720"/>
        <w:jc w:val="both"/>
        <w:rPr>
          <w:lang w:val="en-US"/>
        </w:rPr>
      </w:pPr>
      <w:r w:rsidRPr="00C56F40">
        <w:rPr>
          <w:color w:val="000000"/>
          <w:lang w:val="en-US"/>
        </w:rPr>
        <w:t xml:space="preserve">Layer 9 introduces the creation of genuinely new ontological categories. At Layers 1-8, the system operates within a representational vocabulary that, while emergent, is traceable to the initial set of observables </w:t>
      </w:r>
      <w:r w:rsidRPr="00C56F40">
        <w:rPr>
          <w:rFonts w:ascii="Cambria Math" w:eastAsia="Cambria Math" w:hAnsi="Cambria Math" w:cs="Cambria Math"/>
          <w:i/>
          <w:iCs/>
          <w:lang w:val="en-US"/>
        </w:rPr>
        <w:t>O</w:t>
      </w:r>
      <w:r w:rsidRPr="00C56F40">
        <w:rPr>
          <w:color w:val="000000"/>
          <w:lang w:val="en-US"/>
        </w:rPr>
        <w:t xml:space="preserve">. Layer 9 is the point at which the system generates representational primitives that are not traceable to </w:t>
      </w:r>
      <w:r w:rsidRPr="00C56F40">
        <w:rPr>
          <w:rFonts w:ascii="Cambria Math" w:eastAsia="Cambria Math" w:hAnsi="Cambria Math" w:cs="Cambria Math"/>
          <w:i/>
          <w:iCs/>
          <w:lang w:val="en-US"/>
        </w:rPr>
        <w:t>O</w:t>
      </w:r>
      <w:r w:rsidRPr="00C56F40">
        <w:rPr>
          <w:color w:val="000000"/>
          <w:lang w:val="en-US"/>
        </w:rPr>
        <w:t>: new categories, new morphism types, or new categorical structures that arise through the composition and transformation of existing structures. Formally, this corresponds to the appearance of new objects and morphisms in the categorical representation of the system that were not present in any prior category. Category theory provides a rigorous framework for detecting such ontological novelty: a new functor that cannot be expressed as a composition of existing functors represents a genuine categorical innovation.</w:t>
      </w:r>
    </w:p>
    <w:p w14:paraId="54D00467" w14:textId="77777777" w:rsidR="00073E82" w:rsidRPr="00C56F40" w:rsidRDefault="00000000">
      <w:pPr>
        <w:pStyle w:val="Kop2"/>
        <w:rPr>
          <w:lang w:val="en-US"/>
        </w:rPr>
      </w:pPr>
      <w:r w:rsidRPr="00C56F40">
        <w:rPr>
          <w:color w:val="000000"/>
          <w:lang w:val="en-US"/>
        </w:rPr>
        <w:t>3.8 Layer 10: Global Meta-Ontological Evaluation</w:t>
      </w:r>
    </w:p>
    <w:p w14:paraId="4B45D532" w14:textId="77777777" w:rsidR="00073E82" w:rsidRPr="00C56F40" w:rsidRDefault="00000000">
      <w:pPr>
        <w:spacing w:after="160" w:line="360" w:lineRule="auto"/>
        <w:ind w:firstLine="720"/>
        <w:jc w:val="both"/>
        <w:rPr>
          <w:lang w:val="en-US"/>
        </w:rPr>
      </w:pPr>
      <w:r w:rsidRPr="00C56F40">
        <w:rPr>
          <w:color w:val="000000"/>
          <w:lang w:val="en-US"/>
        </w:rPr>
        <w:t xml:space="preserve">Layer 10 introduces a meta-evaluative operator </w:t>
      </w:r>
      <w:r w:rsidRPr="00C56F40">
        <w:rPr>
          <w:rFonts w:ascii="Cambria Math" w:eastAsia="Cambria Math" w:hAnsi="Cambria Math" w:cs="Cambria Math"/>
          <w:i/>
          <w:iCs/>
          <w:lang w:val="en-US"/>
        </w:rPr>
        <w:t>G_M: O_total → {o*, R_global(</w:t>
      </w:r>
      <w:r>
        <w:rPr>
          <w:rFonts w:ascii="Cambria Math" w:eastAsia="Cambria Math" w:hAnsi="Cambria Math" w:cs="Cambria Math"/>
          <w:i/>
          <w:iCs/>
        </w:rPr>
        <w:t>κ</w:t>
      </w:r>
      <w:r w:rsidRPr="00C56F40">
        <w:rPr>
          <w:rFonts w:ascii="Cambria Math" w:eastAsia="Cambria Math" w:hAnsi="Cambria Math" w:cs="Cambria Math"/>
          <w:i/>
          <w:iCs/>
          <w:lang w:val="en-US"/>
        </w:rPr>
        <w:t>_i)}</w:t>
      </w:r>
      <w:r w:rsidRPr="00C56F40">
        <w:rPr>
          <w:color w:val="000000"/>
          <w:lang w:val="en-US"/>
        </w:rPr>
        <w:t xml:space="preserve"> that assesses the global coherence of the ontological architecture constructed by Layers 1-9. Unlike the performance functions at Layer 5, which evaluate individual functional entities, the meta-operator at Layer 10 evaluates the entire ontological configuration simultaneously, identifying inconsistencies, redundancies, and gaps in the representational coverage.</w:t>
      </w:r>
    </w:p>
    <w:p w14:paraId="5110C55E" w14:textId="77777777" w:rsidR="00073E82" w:rsidRPr="00C56F40" w:rsidRDefault="00000000">
      <w:pPr>
        <w:spacing w:after="160" w:line="360" w:lineRule="auto"/>
        <w:ind w:firstLine="720"/>
        <w:jc w:val="both"/>
        <w:rPr>
          <w:lang w:val="en-US"/>
        </w:rPr>
      </w:pPr>
      <w:r w:rsidRPr="00C56F40">
        <w:rPr>
          <w:color w:val="000000"/>
          <w:lang w:val="en-US"/>
        </w:rPr>
        <w:t>The mathematical machinery of Layer 10 draws on topological data analysis (Edelsbrunner &amp; Harer, 2010). Persistent homology applied to the global ontological complex identifies topological features, connected components, cycles, voids, and higher-dimensional holes, that persist across multiple filtration scales. These topological invariants provide a coordinate-free, scale-invariant characterization of the global ontological structure that is robust to small perturbations and measurement noise. The persistence diagram of the ontological complex, a representation of birth and death times of topological features across the filtration, serves as the primary diagnostic tool for Layer 10 evaluation.</w:t>
      </w:r>
    </w:p>
    <w:p w14:paraId="0B7077B3" w14:textId="77777777" w:rsidR="00073E82" w:rsidRPr="00C56F40" w:rsidRDefault="00000000">
      <w:pPr>
        <w:spacing w:after="160" w:line="360" w:lineRule="auto"/>
        <w:ind w:firstLine="720"/>
        <w:jc w:val="both"/>
        <w:rPr>
          <w:lang w:val="en-US"/>
        </w:rPr>
      </w:pPr>
      <w:r w:rsidRPr="00C56F40">
        <w:rPr>
          <w:color w:val="000000"/>
          <w:lang w:val="en-US"/>
        </w:rPr>
        <w:lastRenderedPageBreak/>
        <w:t xml:space="preserve">A concrete demonstration of Layer 10 dynamics was implemented in a replicator dynamics simulation (as described in the Nexus Framework's computational appendices). </w:t>
      </w:r>
      <w:r w:rsidRPr="00C56F40">
        <w:rPr>
          <w:rFonts w:ascii="Cambria Math" w:eastAsia="Cambria Math" w:hAnsi="Cambria Math" w:cs="Cambria Math"/>
          <w:i/>
          <w:iCs/>
          <w:lang w:val="en-US"/>
        </w:rPr>
        <w:t>N = 50</w:t>
      </w:r>
      <w:r w:rsidRPr="00C56F40">
        <w:rPr>
          <w:color w:val="000000"/>
          <w:lang w:val="en-US"/>
        </w:rPr>
        <w:t xml:space="preserve"> agents sharing a renewable resource with regeneration dynamics were allowed to adapt their extraction propensities through replicator-like update rules. The simulation exhibited the critical phenomenon predicted by Layer 10: local rational adaptation produced global resource collapse, a systemic failure mode that could not be diagnosed from inspection of individual agent behaviors but required meta-level monitoring of the collective dynamic. Early-warning signals, including rising variance in resource levels, increasing autocorrelation, and the appearance of a dominant zero-dimensional persistence class in the topological filtration of agent-state trajectories, predicted the collapse approximately twelve time steps before it occurred.</w:t>
      </w:r>
    </w:p>
    <w:p w14:paraId="74ACCB9E" w14:textId="77777777" w:rsidR="00073E82" w:rsidRPr="00C56F40" w:rsidRDefault="00000000">
      <w:pPr>
        <w:pStyle w:val="Kop2"/>
        <w:rPr>
          <w:lang w:val="en-US"/>
        </w:rPr>
      </w:pPr>
      <w:r w:rsidRPr="00C56F40">
        <w:rPr>
          <w:color w:val="000000"/>
          <w:lang w:val="en-US"/>
        </w:rPr>
        <w:t>3.9 Layers 11 and 12: Contextualization and Transdimensional Reconciliation</w:t>
      </w:r>
    </w:p>
    <w:p w14:paraId="240C5214" w14:textId="77777777" w:rsidR="00073E82" w:rsidRPr="00C56F40" w:rsidRDefault="00000000">
      <w:pPr>
        <w:spacing w:after="160" w:line="360" w:lineRule="auto"/>
        <w:ind w:firstLine="720"/>
        <w:jc w:val="both"/>
        <w:rPr>
          <w:lang w:val="en-US"/>
        </w:rPr>
      </w:pPr>
      <w:r w:rsidRPr="00C56F40">
        <w:rPr>
          <w:color w:val="000000"/>
          <w:lang w:val="en-US"/>
        </w:rPr>
        <w:t xml:space="preserve">Layer 11 introduces adaptive meta-contextualization: the ability to reinterpret ontological conclusions in light of shifting contextual parameters. The contextual operator extends the meta-operator of Layer 10 by incorporating an explicit context parameter </w:t>
      </w:r>
      <w:r w:rsidRPr="00C56F40">
        <w:rPr>
          <w:rFonts w:ascii="Cambria Math" w:eastAsia="Cambria Math" w:hAnsi="Cambria Math" w:cs="Cambria Math"/>
          <w:i/>
          <w:iCs/>
          <w:lang w:val="en-US"/>
        </w:rPr>
        <w:t>C</w:t>
      </w:r>
      <w:r w:rsidRPr="00C56F40">
        <w:rPr>
          <w:color w:val="000000"/>
          <w:lang w:val="en-US"/>
        </w:rPr>
        <w:t xml:space="preserve"> representing temporal, cultural, ontological, and epistemic conditions: </w:t>
      </w:r>
      <w:r w:rsidRPr="00C56F40">
        <w:rPr>
          <w:rFonts w:ascii="Cambria Math" w:eastAsia="Cambria Math" w:hAnsi="Cambria Math" w:cs="Cambria Math"/>
          <w:i/>
          <w:iCs/>
          <w:lang w:val="en-US"/>
        </w:rPr>
        <w:t>G_C: (O_total, C) → {o*_adapted | o*_adapted = f(o*, C), o* ∈ G_M(O_total)}</w:t>
      </w:r>
      <w:r w:rsidRPr="00C56F40">
        <w:rPr>
          <w:color w:val="000000"/>
          <w:lang w:val="en-US"/>
        </w:rPr>
        <w:t xml:space="preserve">. The transformation function </w:t>
      </w:r>
      <w:r w:rsidRPr="00C56F40">
        <w:rPr>
          <w:rFonts w:ascii="Cambria Math" w:eastAsia="Cambria Math" w:hAnsi="Cambria Math" w:cs="Cambria Math"/>
          <w:i/>
          <w:iCs/>
          <w:lang w:val="en-US"/>
        </w:rPr>
        <w:t>f</w:t>
      </w:r>
      <w:r w:rsidRPr="00C56F40">
        <w:rPr>
          <w:color w:val="000000"/>
          <w:lang w:val="en-US"/>
        </w:rPr>
        <w:t xml:space="preserve"> maps meta-evaluated states into context-adapted states while preserving inferential relations, analogous to a functor in enriched category theory (Kelly, 1982).</w:t>
      </w:r>
    </w:p>
    <w:p w14:paraId="07B58F7A" w14:textId="77777777" w:rsidR="00073E82" w:rsidRPr="00C56F40" w:rsidRDefault="00000000">
      <w:pPr>
        <w:spacing w:after="160" w:line="360" w:lineRule="auto"/>
        <w:ind w:firstLine="720"/>
        <w:jc w:val="both"/>
        <w:rPr>
          <w:lang w:val="en-US"/>
        </w:rPr>
      </w:pPr>
      <w:r w:rsidRPr="00C56F40">
        <w:rPr>
          <w:color w:val="000000"/>
          <w:lang w:val="en-US"/>
        </w:rPr>
        <w:t>This formalism enables the system to maintain coherent representations across paradigm shifts (Kuhn, 1962), cultural differences (Nguyen et al., 2023), and ontological discontinuities. The empirical literature provides strong motivation: large language models trained on culturally homogeneous corpora exhibit systematic biases when applied to culturally heterogeneous contexts (Bender et al., 2021), and meta-reinforcement learning agents trained on restricted task distributions generalize poorly to out-of-distribution environments (Wang et al., 2019). Layer 11 addresses these limitations by making contextual adaptation an explicit, formally specified operation rather than an implicit by-product of training data diversity.</w:t>
      </w:r>
    </w:p>
    <w:p w14:paraId="5B4DF65D" w14:textId="77777777" w:rsidR="00073E82" w:rsidRPr="00C56F40" w:rsidRDefault="00000000">
      <w:pPr>
        <w:spacing w:after="160" w:line="360" w:lineRule="auto"/>
        <w:ind w:firstLine="720"/>
        <w:jc w:val="both"/>
        <w:rPr>
          <w:lang w:val="en-US"/>
        </w:rPr>
      </w:pPr>
      <w:r w:rsidRPr="00C56F40">
        <w:rPr>
          <w:color w:val="000000"/>
          <w:lang w:val="en-US"/>
        </w:rPr>
        <w:t xml:space="preserve">Layer 12 is the most architecturally ambitious layer within the foundational cluster. Its task is transdimensional reconciliation: the construction of mediating structures that bring apparently incompatible ontological frameworks into productive relation without erasing their differences. Formally, if the outputs of Layer 11 are an indexed family of context-adapted ontological states </w:t>
      </w:r>
      <w:r w:rsidRPr="00C56F40">
        <w:rPr>
          <w:rFonts w:ascii="Cambria Math" w:eastAsia="Cambria Math" w:hAnsi="Cambria Math" w:cs="Cambria Math"/>
          <w:i/>
          <w:iCs/>
          <w:lang w:val="en-US"/>
        </w:rPr>
        <w:t>{(o*_i, C_i)}_{i∈I}</w:t>
      </w:r>
      <w:r w:rsidRPr="00C56F40">
        <w:rPr>
          <w:color w:val="000000"/>
          <w:lang w:val="en-US"/>
        </w:rPr>
        <w:t xml:space="preserve">, then the reconciliation operator is: </w:t>
      </w:r>
      <w:r w:rsidRPr="00C56F40">
        <w:rPr>
          <w:rFonts w:ascii="Cambria Math" w:eastAsia="Cambria Math" w:hAnsi="Cambria Math" w:cs="Cambria Math"/>
          <w:i/>
          <w:iCs/>
          <w:lang w:val="en-US"/>
        </w:rPr>
        <w:t>G_T: {(o*_i, C_i)}_{i∈I} → R</w:t>
      </w:r>
      <w:r w:rsidRPr="00C56F40">
        <w:rPr>
          <w:color w:val="000000"/>
          <w:lang w:val="en-US"/>
        </w:rPr>
        <w:t xml:space="preserve">, where </w:t>
      </w:r>
      <w:r w:rsidRPr="00C56F40">
        <w:rPr>
          <w:rFonts w:ascii="Cambria Math" w:eastAsia="Cambria Math" w:hAnsi="Cambria Math" w:cs="Cambria Math"/>
          <w:i/>
          <w:iCs/>
          <w:lang w:val="en-US"/>
        </w:rPr>
        <w:t>R</w:t>
      </w:r>
      <w:r w:rsidRPr="00C56F40">
        <w:rPr>
          <w:color w:val="000000"/>
          <w:lang w:val="en-US"/>
        </w:rPr>
        <w:t xml:space="preserve"> is the reconciled meta-object, a universal construction in the categorical sense, specifically a colimit of the diagram formed by the adapted states and their mediating morphisms.</w:t>
      </w:r>
    </w:p>
    <w:p w14:paraId="58F12CB8" w14:textId="77777777" w:rsidR="00073E82" w:rsidRPr="00C56F40" w:rsidRDefault="00000000">
      <w:pPr>
        <w:spacing w:after="160" w:line="360" w:lineRule="auto"/>
        <w:ind w:firstLine="720"/>
        <w:jc w:val="both"/>
        <w:rPr>
          <w:lang w:val="en-US"/>
        </w:rPr>
      </w:pPr>
      <w:r w:rsidRPr="00C56F40">
        <w:rPr>
          <w:color w:val="000000"/>
          <w:lang w:val="en-US"/>
        </w:rPr>
        <w:t xml:space="preserve">Massimi's (2022) perspectival realism and Fong and Spivak's (2019) applied category theory jointly provide the theoretical grounding for this operation. Massimi argues that scientific models are perspective-relative but can nevertheless converge toward reliable and integrative knowledge through the disciplined articulation of the conditions of validity of each perspective. Category theory makes this process operational: the colimit construction produces a canonical object that aggregates all input perspectives while making their relationships explicit and testable. The risks of Layer 12, including epistemic flattening, excessive abstraction, and political capture of the reconciliation process, </w:t>
      </w:r>
      <w:r w:rsidRPr="00C56F40">
        <w:rPr>
          <w:color w:val="000000"/>
          <w:lang w:val="en-US"/>
        </w:rPr>
        <w:lastRenderedPageBreak/>
        <w:t>require governance mechanisms including provenance tracking, transparency and reversibility of reconciliation decisions, and participatory co-design by the communities whose ontologies are being mapped.</w:t>
      </w:r>
    </w:p>
    <w:p w14:paraId="374D6E01" w14:textId="77777777" w:rsidR="00073E82" w:rsidRPr="00C56F40" w:rsidRDefault="00000000">
      <w:pPr>
        <w:rPr>
          <w:lang w:val="en-US"/>
        </w:rPr>
      </w:pPr>
      <w:r w:rsidRPr="00C56F40">
        <w:rPr>
          <w:lang w:val="en-US"/>
        </w:rPr>
        <w:br w:type="page"/>
      </w:r>
    </w:p>
    <w:p w14:paraId="3081EA11" w14:textId="77777777" w:rsidR="00073E82" w:rsidRPr="00C56F40" w:rsidRDefault="00000000">
      <w:pPr>
        <w:pStyle w:val="Kop2"/>
        <w:rPr>
          <w:lang w:val="en-US"/>
        </w:rPr>
      </w:pPr>
      <w:r w:rsidRPr="00C56F40">
        <w:rPr>
          <w:color w:val="000000"/>
          <w:lang w:val="en-US"/>
        </w:rPr>
        <w:lastRenderedPageBreak/>
        <w:t>3.10 Layers 13 and 14: Ontogenesis and Autopoietic Worldbuilding</w:t>
      </w:r>
    </w:p>
    <w:p w14:paraId="02FD4F84" w14:textId="77777777" w:rsidR="00073E82" w:rsidRPr="00C56F40" w:rsidRDefault="00000000">
      <w:pPr>
        <w:spacing w:after="160" w:line="360" w:lineRule="auto"/>
        <w:ind w:firstLine="720"/>
        <w:jc w:val="both"/>
        <w:rPr>
          <w:lang w:val="en-US"/>
        </w:rPr>
      </w:pPr>
      <w:r w:rsidRPr="00C56F40">
        <w:rPr>
          <w:color w:val="000000"/>
          <w:lang w:val="en-US"/>
        </w:rPr>
        <w:t xml:space="preserve">Layer 13 is the layer of ontogenesis: the creation of genuinely new structures that cannot be reduced to any pre-existing configuration. Formally, let </w:t>
      </w:r>
      <w:r w:rsidRPr="00C56F40">
        <w:rPr>
          <w:rFonts w:ascii="Cambria Math" w:eastAsia="Cambria Math" w:hAnsi="Cambria Math" w:cs="Cambria Math"/>
          <w:i/>
          <w:iCs/>
          <w:lang w:val="en-US"/>
        </w:rPr>
        <w:t>R_t</w:t>
      </w:r>
      <w:r w:rsidRPr="00C56F40">
        <w:rPr>
          <w:color w:val="000000"/>
          <w:lang w:val="en-US"/>
        </w:rPr>
        <w:t xml:space="preserve"> denote the reconciled meta-object at time </w:t>
      </w:r>
      <w:r w:rsidRPr="00C56F40">
        <w:rPr>
          <w:rFonts w:ascii="Cambria Math" w:eastAsia="Cambria Math" w:hAnsi="Cambria Math" w:cs="Cambria Math"/>
          <w:i/>
          <w:iCs/>
          <w:lang w:val="en-US"/>
        </w:rPr>
        <w:t>t</w:t>
      </w:r>
      <w:r w:rsidRPr="00C56F40">
        <w:rPr>
          <w:color w:val="000000"/>
          <w:lang w:val="en-US"/>
        </w:rPr>
        <w:t xml:space="preserve">. An emergent operator </w:t>
      </w:r>
      <w:r w:rsidRPr="00C56F40">
        <w:rPr>
          <w:rFonts w:ascii="Cambria Math" w:eastAsia="Cambria Math" w:hAnsi="Cambria Math" w:cs="Cambria Math"/>
          <w:i/>
          <w:iCs/>
          <w:lang w:val="en-US"/>
        </w:rPr>
        <w:t>E</w:t>
      </w:r>
      <w:r w:rsidRPr="00C56F40">
        <w:rPr>
          <w:color w:val="000000"/>
          <w:lang w:val="en-US"/>
        </w:rPr>
        <w:t xml:space="preserve"> transforms this into the next state: </w:t>
      </w:r>
      <w:r w:rsidRPr="00C56F40">
        <w:rPr>
          <w:rFonts w:ascii="Cambria Math" w:eastAsia="Cambria Math" w:hAnsi="Cambria Math" w:cs="Cambria Math"/>
          <w:i/>
          <w:iCs/>
          <w:lang w:val="en-US"/>
        </w:rPr>
        <w:t xml:space="preserve">R_{t+1} = E(R_t, </w:t>
      </w:r>
      <w:r>
        <w:rPr>
          <w:rFonts w:ascii="Cambria Math" w:eastAsia="Cambria Math" w:hAnsi="Cambria Math" w:cs="Cambria Math"/>
          <w:i/>
          <w:iCs/>
        </w:rPr>
        <w:t>Δ</w:t>
      </w:r>
      <w:r w:rsidRPr="00C56F40">
        <w:rPr>
          <w:rFonts w:ascii="Cambria Math" w:eastAsia="Cambria Math" w:hAnsi="Cambria Math" w:cs="Cambria Math"/>
          <w:i/>
          <w:iCs/>
          <w:lang w:val="en-US"/>
        </w:rPr>
        <w:t>_t)</w:t>
      </w:r>
      <w:r w:rsidRPr="00C56F40">
        <w:rPr>
          <w:color w:val="000000"/>
          <w:lang w:val="en-US"/>
        </w:rPr>
        <w:t xml:space="preserve">, where </w:t>
      </w:r>
      <w:r>
        <w:rPr>
          <w:rFonts w:ascii="Cambria Math" w:eastAsia="Cambria Math" w:hAnsi="Cambria Math" w:cs="Cambria Math"/>
          <w:i/>
          <w:iCs/>
        </w:rPr>
        <w:t>Δ</w:t>
      </w:r>
      <w:r w:rsidRPr="00C56F40">
        <w:rPr>
          <w:rFonts w:ascii="Cambria Math" w:eastAsia="Cambria Math" w:hAnsi="Cambria Math" w:cs="Cambria Math"/>
          <w:i/>
          <w:iCs/>
          <w:lang w:val="en-US"/>
        </w:rPr>
        <w:t>_t</w:t>
      </w:r>
      <w:r w:rsidRPr="00C56F40">
        <w:rPr>
          <w:color w:val="000000"/>
          <w:lang w:val="en-US"/>
        </w:rPr>
        <w:t xml:space="preserve"> encodes exogenous perturbations and stochastic exploration. Ontogenesis at Layer 13 is certified when the operator </w:t>
      </w:r>
      <w:r w:rsidRPr="00C56F40">
        <w:rPr>
          <w:rFonts w:ascii="Cambria Math" w:eastAsia="Cambria Math" w:hAnsi="Cambria Math" w:cs="Cambria Math"/>
          <w:i/>
          <w:iCs/>
          <w:lang w:val="en-US"/>
        </w:rPr>
        <w:t>E</w:t>
      </w:r>
      <w:r w:rsidRPr="00C56F40">
        <w:rPr>
          <w:color w:val="000000"/>
          <w:lang w:val="en-US"/>
        </w:rPr>
        <w:t xml:space="preserve"> produces invariant sets </w:t>
      </w:r>
      <w:r w:rsidRPr="00C56F40">
        <w:rPr>
          <w:rFonts w:ascii="Cambria Math" w:eastAsia="Cambria Math" w:hAnsi="Cambria Math" w:cs="Cambria Math"/>
          <w:i/>
          <w:iCs/>
          <w:lang w:val="en-US"/>
        </w:rPr>
        <w:t>M</w:t>
      </w:r>
      <w:r w:rsidRPr="00C56F40">
        <w:rPr>
          <w:color w:val="000000"/>
          <w:lang w:val="en-US"/>
        </w:rPr>
        <w:t xml:space="preserve"> satisfying three joint conditions: (i) </w:t>
      </w:r>
      <w:r w:rsidRPr="00C56F40">
        <w:rPr>
          <w:rFonts w:ascii="Cambria Math" w:eastAsia="Cambria Math" w:hAnsi="Cambria Math" w:cs="Cambria Math"/>
          <w:i/>
          <w:iCs/>
          <w:lang w:val="en-US"/>
        </w:rPr>
        <w:t>M</w:t>
      </w:r>
      <w:r w:rsidRPr="00C56F40">
        <w:rPr>
          <w:color w:val="000000"/>
          <w:lang w:val="en-US"/>
        </w:rPr>
        <w:t xml:space="preserve"> did not exist in the state space prior to reconciliation; (ii) </w:t>
      </w:r>
      <w:r w:rsidRPr="00C56F40">
        <w:rPr>
          <w:rFonts w:ascii="Cambria Math" w:eastAsia="Cambria Math" w:hAnsi="Cambria Math" w:cs="Cambria Math"/>
          <w:i/>
          <w:iCs/>
          <w:lang w:val="en-US"/>
        </w:rPr>
        <w:t>M</w:t>
      </w:r>
      <w:r w:rsidRPr="00C56F40">
        <w:rPr>
          <w:color w:val="000000"/>
          <w:lang w:val="en-US"/>
        </w:rPr>
        <w:t xml:space="preserve"> exhibits robustness under perturbation; (iii) </w:t>
      </w:r>
      <w:r w:rsidRPr="00C56F40">
        <w:rPr>
          <w:rFonts w:ascii="Cambria Math" w:eastAsia="Cambria Math" w:hAnsi="Cambria Math" w:cs="Cambria Math"/>
          <w:i/>
          <w:iCs/>
          <w:lang w:val="en-US"/>
        </w:rPr>
        <w:t>M</w:t>
      </w:r>
      <w:r w:rsidRPr="00C56F40">
        <w:rPr>
          <w:color w:val="000000"/>
          <w:lang w:val="en-US"/>
        </w:rPr>
        <w:t xml:space="preserve"> exerts causal efficacy, demonstrable by counterfactual ablation. These three conditions, novelty, stability, and efficacy, convert the informal notion of emergence into a precisely testable criterion.</w:t>
      </w:r>
    </w:p>
    <w:p w14:paraId="4AE03D6A" w14:textId="77777777" w:rsidR="00073E82" w:rsidRPr="00C56F40" w:rsidRDefault="00000000">
      <w:pPr>
        <w:spacing w:after="160" w:line="360" w:lineRule="auto"/>
        <w:ind w:firstLine="720"/>
        <w:jc w:val="both"/>
        <w:rPr>
          <w:lang w:val="en-US"/>
        </w:rPr>
      </w:pPr>
      <w:r w:rsidRPr="00C56F40">
        <w:rPr>
          <w:color w:val="000000"/>
          <w:lang w:val="en-US"/>
        </w:rPr>
        <w:t>The empirical literature provides compelling examples. Wei et al. (2022) demonstrated that large language models exhibit qualitative behavioral leaps, emergent abilities, as scale crosses certain thresholds: capabilities such as multi-step arithmetic, chain-of-thought reasoning, and instruction following appear suddenly and were not present in smaller models. These findings, while concerning from a predictability perspective, are precisely the kind of ontogenetic events Layer 13 is designed to detect, characterize, and govern. The topological diagnostic is provided by persistent homology: the birth of a new dominant class in dimension one of the persistence diagram of agent-state trajectories certifies the appearance of a new dynamical manifold, a structure that did not exist in the prior configuration.</w:t>
      </w:r>
    </w:p>
    <w:p w14:paraId="17A0E9C6" w14:textId="77777777" w:rsidR="00073E82" w:rsidRPr="00C56F40" w:rsidRDefault="00000000">
      <w:pPr>
        <w:spacing w:after="160" w:line="360" w:lineRule="auto"/>
        <w:ind w:firstLine="720"/>
        <w:jc w:val="both"/>
        <w:rPr>
          <w:lang w:val="en-US"/>
        </w:rPr>
      </w:pPr>
      <w:r w:rsidRPr="00C56F40">
        <w:rPr>
          <w:color w:val="000000"/>
          <w:lang w:val="en-US"/>
        </w:rPr>
        <w:t xml:space="preserve">Layer 14 extends ontogenesis to autopoietic worldbuilding: the construction of self-sustaining, self-reproducing normative environments. Maturana and Varela's (1980) concept of autopoiesis, the property of a system that produces and maintains its own structural components through its own operations, provides the theoretical foundation. At Layer 14, the system does not merely generate new structures but creates the conditions for those structures to maintain themselves and generate further novelty. The formal criterion for autopoiesis is organizational closure: the system's component-producing processes are themselves produced by the system, forming a closed network of production. This is formalized by the existence of a fixed point of the production map: </w:t>
      </w:r>
      <w:r w:rsidRPr="00C56F40">
        <w:rPr>
          <w:rFonts w:ascii="Cambria Math" w:eastAsia="Cambria Math" w:hAnsi="Cambria Math" w:cs="Cambria Math"/>
          <w:i/>
          <w:iCs/>
          <w:lang w:val="en-US"/>
        </w:rPr>
        <w:t>P(</w:t>
      </w:r>
      <w:r>
        <w:rPr>
          <w:rFonts w:ascii="Cambria Math" w:eastAsia="Cambria Math" w:hAnsi="Cambria Math" w:cs="Cambria Math"/>
          <w:i/>
          <w:iCs/>
        </w:rPr>
        <w:t>σ</w:t>
      </w:r>
      <w:r w:rsidRPr="00C56F40">
        <w:rPr>
          <w:rFonts w:ascii="Cambria Math" w:eastAsia="Cambria Math" w:hAnsi="Cambria Math" w:cs="Cambria Math"/>
          <w:i/>
          <w:iCs/>
          <w:lang w:val="en-US"/>
        </w:rPr>
        <w:t xml:space="preserve">) = </w:t>
      </w:r>
      <w:r>
        <w:rPr>
          <w:rFonts w:ascii="Cambria Math" w:eastAsia="Cambria Math" w:hAnsi="Cambria Math" w:cs="Cambria Math"/>
          <w:i/>
          <w:iCs/>
        </w:rPr>
        <w:t>σ</w:t>
      </w:r>
      <w:r w:rsidRPr="00C56F40">
        <w:rPr>
          <w:color w:val="000000"/>
          <w:lang w:val="en-US"/>
        </w:rPr>
        <w:t xml:space="preserve">, where </w:t>
      </w:r>
      <w:r>
        <w:rPr>
          <w:rFonts w:ascii="Cambria Math" w:eastAsia="Cambria Math" w:hAnsi="Cambria Math" w:cs="Cambria Math"/>
          <w:i/>
          <w:iCs/>
        </w:rPr>
        <w:t>σ</w:t>
      </w:r>
      <w:r w:rsidRPr="00C56F40">
        <w:rPr>
          <w:color w:val="000000"/>
          <w:lang w:val="en-US"/>
        </w:rPr>
        <w:t xml:space="preserve"> is the system's organizational structure.</w:t>
      </w:r>
    </w:p>
    <w:p w14:paraId="13350861" w14:textId="77777777" w:rsidR="00073E82" w:rsidRPr="00C56F40" w:rsidRDefault="00000000">
      <w:pPr>
        <w:pStyle w:val="Kop2"/>
        <w:rPr>
          <w:lang w:val="en-US"/>
        </w:rPr>
      </w:pPr>
      <w:r w:rsidRPr="00C56F40">
        <w:rPr>
          <w:color w:val="000000"/>
          <w:lang w:val="en-US"/>
        </w:rPr>
        <w:t>3.11 Layers 15 and 16: Morphogenesis, Ethics, and Collective Transcendence</w:t>
      </w:r>
    </w:p>
    <w:p w14:paraId="748F3499" w14:textId="77777777" w:rsidR="00073E82" w:rsidRPr="00C56F40" w:rsidRDefault="00000000">
      <w:pPr>
        <w:spacing w:after="160" w:line="360" w:lineRule="auto"/>
        <w:ind w:firstLine="720"/>
        <w:jc w:val="both"/>
        <w:rPr>
          <w:lang w:val="en-US"/>
        </w:rPr>
      </w:pPr>
      <w:r w:rsidRPr="00C56F40">
        <w:rPr>
          <w:color w:val="000000"/>
          <w:lang w:val="en-US"/>
        </w:rPr>
        <w:t xml:space="preserve">Layer 15 introduces recursive morphogenesis with full ethical integration. The layer's operation is formalized by an evaluation operator </w:t>
      </w:r>
      <w:r>
        <w:rPr>
          <w:rFonts w:ascii="Cambria Math" w:eastAsia="Cambria Math" w:hAnsi="Cambria Math" w:cs="Cambria Math"/>
          <w:i/>
          <w:iCs/>
        </w:rPr>
        <w:t>Φ</w:t>
      </w:r>
      <w:r w:rsidRPr="00C56F40">
        <w:rPr>
          <w:rFonts w:ascii="Cambria Math" w:eastAsia="Cambria Math" w:hAnsi="Cambria Math" w:cs="Cambria Math"/>
          <w:i/>
          <w:iCs/>
          <w:lang w:val="en-US"/>
        </w:rPr>
        <w:t>: A × V × E → ℝ</w:t>
      </w:r>
      <w:r w:rsidRPr="00C56F40">
        <w:rPr>
          <w:color w:val="000000"/>
          <w:lang w:val="en-US"/>
        </w:rPr>
        <w:t xml:space="preserve"> that maps actions </w:t>
      </w:r>
      <w:r w:rsidRPr="00C56F40">
        <w:rPr>
          <w:rFonts w:ascii="Cambria Math" w:eastAsia="Cambria Math" w:hAnsi="Cambria Math" w:cs="Cambria Math"/>
          <w:i/>
          <w:iCs/>
          <w:lang w:val="en-US"/>
        </w:rPr>
        <w:t>A</w:t>
      </w:r>
      <w:r w:rsidRPr="00C56F40">
        <w:rPr>
          <w:color w:val="000000"/>
          <w:lang w:val="en-US"/>
        </w:rPr>
        <w:t xml:space="preserve"> into an ethical performance score relative to both value systems </w:t>
      </w:r>
      <w:r w:rsidRPr="00C56F40">
        <w:rPr>
          <w:rFonts w:ascii="Cambria Math" w:eastAsia="Cambria Math" w:hAnsi="Cambria Math" w:cs="Cambria Math"/>
          <w:i/>
          <w:iCs/>
          <w:lang w:val="en-US"/>
        </w:rPr>
        <w:t>V</w:t>
      </w:r>
      <w:r w:rsidRPr="00C56F40">
        <w:rPr>
          <w:color w:val="000000"/>
          <w:lang w:val="en-US"/>
        </w:rPr>
        <w:t xml:space="preserve"> and their meta-structural constraints </w:t>
      </w:r>
      <w:r w:rsidRPr="00C56F40">
        <w:rPr>
          <w:rFonts w:ascii="Cambria Math" w:eastAsia="Cambria Math" w:hAnsi="Cambria Math" w:cs="Cambria Math"/>
          <w:i/>
          <w:iCs/>
          <w:lang w:val="en-US"/>
        </w:rPr>
        <w:t>E</w:t>
      </w:r>
      <w:r w:rsidRPr="00C56F40">
        <w:rPr>
          <w:color w:val="000000"/>
          <w:lang w:val="en-US"/>
        </w:rPr>
        <w:t xml:space="preserve">. Reflexivity is introduced by allowing </w:t>
      </w:r>
      <w:r w:rsidRPr="00C56F40">
        <w:rPr>
          <w:rFonts w:ascii="Cambria Math" w:eastAsia="Cambria Math" w:hAnsi="Cambria Math" w:cs="Cambria Math"/>
          <w:i/>
          <w:iCs/>
          <w:lang w:val="en-US"/>
        </w:rPr>
        <w:t>E</w:t>
      </w:r>
      <w:r w:rsidRPr="00C56F40">
        <w:rPr>
          <w:color w:val="000000"/>
          <w:lang w:val="en-US"/>
        </w:rPr>
        <w:t xml:space="preserve"> itself to evolve as a function of prior ethical evaluations and human interpretive input </w:t>
      </w:r>
      <w:r w:rsidRPr="00C56F40">
        <w:rPr>
          <w:rFonts w:ascii="Cambria Math" w:eastAsia="Cambria Math" w:hAnsi="Cambria Math" w:cs="Cambria Math"/>
          <w:i/>
          <w:iCs/>
          <w:lang w:val="en-US"/>
        </w:rPr>
        <w:t>H_t</w:t>
      </w:r>
      <w:r w:rsidRPr="00C56F40">
        <w:rPr>
          <w:color w:val="000000"/>
          <w:lang w:val="en-US"/>
        </w:rPr>
        <w:t xml:space="preserve">:  </w:t>
      </w:r>
      <w:r w:rsidRPr="00C56F40">
        <w:rPr>
          <w:rFonts w:ascii="Cambria Math" w:eastAsia="Cambria Math" w:hAnsi="Cambria Math" w:cs="Cambria Math"/>
          <w:i/>
          <w:iCs/>
          <w:lang w:val="en-US"/>
        </w:rPr>
        <w:t xml:space="preserve">E_{t+1} = f(E_t, </w:t>
      </w:r>
      <w:r>
        <w:rPr>
          <w:rFonts w:ascii="Cambria Math" w:eastAsia="Cambria Math" w:hAnsi="Cambria Math" w:cs="Cambria Math"/>
          <w:i/>
          <w:iCs/>
        </w:rPr>
        <w:t>Φ</w:t>
      </w:r>
      <w:r w:rsidRPr="00C56F40">
        <w:rPr>
          <w:rFonts w:ascii="Cambria Math" w:eastAsia="Cambria Math" w:hAnsi="Cambria Math" w:cs="Cambria Math"/>
          <w:i/>
          <w:iCs/>
          <w:lang w:val="en-US"/>
        </w:rPr>
        <w:t>(A, V, E_t), H_t)</w:t>
      </w:r>
      <w:r w:rsidRPr="00C56F40">
        <w:rPr>
          <w:color w:val="000000"/>
          <w:lang w:val="en-US"/>
        </w:rPr>
        <w:t>. This recursive formulation instantiates the insight of Floridi (2023) and Russell (2019) that ethical design cannot be reduced to static rule sets but must be conceived as a dynamic ecosystem of relational constraints co-determined by system performance and human interpretation.</w:t>
      </w:r>
    </w:p>
    <w:p w14:paraId="34E1B6BC" w14:textId="77777777" w:rsidR="00073E82" w:rsidRPr="00C56F40" w:rsidRDefault="00000000">
      <w:pPr>
        <w:spacing w:after="160" w:line="360" w:lineRule="auto"/>
        <w:ind w:firstLine="720"/>
        <w:jc w:val="both"/>
        <w:rPr>
          <w:lang w:val="en-US"/>
        </w:rPr>
      </w:pPr>
      <w:r w:rsidRPr="00C56F40">
        <w:rPr>
          <w:color w:val="000000"/>
          <w:lang w:val="en-US"/>
        </w:rPr>
        <w:t>The risks of Layer 15 include ethical drift, recursive paralysis through contradictory imperatives, and the epistemic colonialism of imposing a single ethical meta-structure on plural normative traditions. The mitigating design principles include counterfactual ethical simulation, cultural contingency modeling, and Pareto-optimal multi-</w:t>
      </w:r>
      <w:r w:rsidRPr="00C56F40">
        <w:rPr>
          <w:color w:val="000000"/>
          <w:lang w:val="en-US"/>
        </w:rPr>
        <w:lastRenderedPageBreak/>
        <w:t>objective search over the space of value combinations (Mitchell et al., 2021). Layer 15 also requires explicit provenance tracking of ethical decisions, enabling auditability and contestability by affected communities.</w:t>
      </w:r>
    </w:p>
    <w:p w14:paraId="522C2C87" w14:textId="77777777" w:rsidR="00073E82" w:rsidRPr="00C56F40" w:rsidRDefault="00000000">
      <w:pPr>
        <w:spacing w:after="160" w:line="360" w:lineRule="auto"/>
        <w:ind w:firstLine="720"/>
        <w:jc w:val="both"/>
        <w:rPr>
          <w:lang w:val="en-US"/>
        </w:rPr>
      </w:pPr>
      <w:r w:rsidRPr="00C56F40">
        <w:rPr>
          <w:color w:val="000000"/>
          <w:lang w:val="en-US"/>
        </w:rPr>
        <w:t xml:space="preserve">Layer 16 introduces collective transcendence: the embedding of the system's operational frame within larger collective, historical, and cosmological contexts. The transcendent metastructure of the system is formally expressed as </w:t>
      </w:r>
      <w:r w:rsidRPr="00C56F40">
        <w:rPr>
          <w:rFonts w:ascii="Cambria Math" w:eastAsia="Cambria Math" w:hAnsi="Cambria Math" w:cs="Cambria Math"/>
          <w:i/>
          <w:iCs/>
          <w:lang w:val="en-US"/>
        </w:rPr>
        <w:t xml:space="preserve">T(M) = ∪_{i=1}^∞ </w:t>
      </w:r>
      <w:r>
        <w:rPr>
          <w:rFonts w:ascii="Cambria Math" w:eastAsia="Cambria Math" w:hAnsi="Cambria Math" w:cs="Cambria Math"/>
          <w:i/>
          <w:iCs/>
        </w:rPr>
        <w:t>Φ</w:t>
      </w:r>
      <w:r w:rsidRPr="00C56F40">
        <w:rPr>
          <w:rFonts w:ascii="Cambria Math" w:eastAsia="Cambria Math" w:hAnsi="Cambria Math" w:cs="Cambria Math"/>
          <w:i/>
          <w:iCs/>
          <w:lang w:val="en-US"/>
        </w:rPr>
        <w:t>_i(M)</w:t>
      </w:r>
      <w:r w:rsidRPr="00C56F40">
        <w:rPr>
          <w:color w:val="000000"/>
          <w:lang w:val="en-US"/>
        </w:rPr>
        <w:t xml:space="preserve">, where </w:t>
      </w:r>
      <w:r>
        <w:rPr>
          <w:rFonts w:ascii="Cambria Math" w:eastAsia="Cambria Math" w:hAnsi="Cambria Math" w:cs="Cambria Math"/>
          <w:i/>
          <w:iCs/>
        </w:rPr>
        <w:t>Φ</w:t>
      </w:r>
      <w:r w:rsidRPr="00C56F40">
        <w:rPr>
          <w:rFonts w:ascii="Cambria Math" w:eastAsia="Cambria Math" w:hAnsi="Cambria Math" w:cs="Cambria Math"/>
          <w:i/>
          <w:iCs/>
          <w:lang w:val="en-US"/>
        </w:rPr>
        <w:t>_i</w:t>
      </w:r>
      <w:r w:rsidRPr="00C56F40">
        <w:rPr>
          <w:color w:val="000000"/>
          <w:lang w:val="en-US"/>
        </w:rPr>
        <w:t xml:space="preserve"> represents successive transformative mappings that reorganize the system's epistemic, ethical, and operational horizons. In categorical terms, transcendence is formalized as the existence of a sequence of functors </w:t>
      </w:r>
      <w:r w:rsidRPr="00C56F40">
        <w:rPr>
          <w:rFonts w:ascii="Cambria Math" w:eastAsia="Cambria Math" w:hAnsi="Cambria Math" w:cs="Cambria Math"/>
          <w:i/>
          <w:iCs/>
          <w:lang w:val="en-US"/>
        </w:rPr>
        <w:t>F_i: C → D_i</w:t>
      </w:r>
      <w:r w:rsidRPr="00C56F40">
        <w:rPr>
          <w:color w:val="000000"/>
          <w:lang w:val="en-US"/>
        </w:rPr>
        <w:t xml:space="preserve"> such that the colimit of the diagram </w:t>
      </w:r>
      <w:r w:rsidRPr="00C56F40">
        <w:rPr>
          <w:rFonts w:ascii="Cambria Math" w:eastAsia="Cambria Math" w:hAnsi="Cambria Math" w:cs="Cambria Math"/>
          <w:i/>
          <w:iCs/>
          <w:lang w:val="en-US"/>
        </w:rPr>
        <w:t>(D_i, F_i)</w:t>
      </w:r>
      <w:r w:rsidRPr="00C56F40">
        <w:rPr>
          <w:color w:val="000000"/>
          <w:lang w:val="en-US"/>
        </w:rPr>
        <w:t xml:space="preserve"> represents the transcendent meta-category that subsumes all local operational frames.</w:t>
      </w:r>
    </w:p>
    <w:p w14:paraId="03B515E8" w14:textId="77777777" w:rsidR="00073E82" w:rsidRPr="00C56F40" w:rsidRDefault="00000000">
      <w:pPr>
        <w:spacing w:after="160" w:line="360" w:lineRule="auto"/>
        <w:ind w:firstLine="720"/>
        <w:jc w:val="both"/>
        <w:rPr>
          <w:lang w:val="en-US"/>
        </w:rPr>
      </w:pPr>
      <w:r w:rsidRPr="00C56F40">
        <w:rPr>
          <w:color w:val="000000"/>
          <w:lang w:val="en-US"/>
        </w:rPr>
        <w:t>The empirical grounding of Layer 16 comes from distributed cognition research (Hutchins, 1995), collective intelligence studies (Gallagher, 2020), and emerging computational models of planetary intelligence (Frank et al., 2022). Santos and Frank (2025) proposed formal conditions for sustainability thresholds in human-ecological-AI feedback loops, directly addressing the risks of runaway transcendence. Teilhard de Chardin's (1955) noosphere concept, while metaphorical in its original formulation, has been reinterpreted by contemporary complexity scientists as a formal hypothesis about the emergence of a global cognitive network from the interactions of local cognitive agents.</w:t>
      </w:r>
    </w:p>
    <w:p w14:paraId="5516171C" w14:textId="77777777" w:rsidR="00073E82" w:rsidRPr="00C56F40" w:rsidRDefault="00000000">
      <w:pPr>
        <w:pStyle w:val="Kop2"/>
        <w:rPr>
          <w:lang w:val="en-US"/>
        </w:rPr>
      </w:pPr>
      <w:r w:rsidRPr="00C56F40">
        <w:rPr>
          <w:color w:val="000000"/>
          <w:lang w:val="en-US"/>
        </w:rPr>
        <w:t>3.12 Layer 17: Absolute Integration</w:t>
      </w:r>
    </w:p>
    <w:p w14:paraId="4B815EFE" w14:textId="77777777" w:rsidR="00073E82" w:rsidRPr="00C56F40" w:rsidRDefault="00000000">
      <w:pPr>
        <w:spacing w:after="160" w:line="360" w:lineRule="auto"/>
        <w:ind w:firstLine="720"/>
        <w:jc w:val="both"/>
        <w:rPr>
          <w:lang w:val="en-US"/>
        </w:rPr>
      </w:pPr>
      <w:r w:rsidRPr="00C56F40">
        <w:rPr>
          <w:color w:val="000000"/>
          <w:lang w:val="en-US"/>
        </w:rPr>
        <w:t xml:space="preserve">Layer 17 is the terminal layer of the architecture: the domain of absolute integration, in which all prior layers are simultaneously present, mutually interpretable, and reflexively coherent. The formal operator of Layer 17 is a fixed-point map </w:t>
      </w:r>
      <w:r>
        <w:rPr>
          <w:rFonts w:ascii="Cambria Math" w:eastAsia="Cambria Math" w:hAnsi="Cambria Math" w:cs="Cambria Math"/>
          <w:i/>
          <w:iCs/>
        </w:rPr>
        <w:t>Θ</w:t>
      </w:r>
      <w:r w:rsidRPr="00C56F40">
        <w:rPr>
          <w:rFonts w:ascii="Cambria Math" w:eastAsia="Cambria Math" w:hAnsi="Cambria Math" w:cs="Cambria Math"/>
          <w:i/>
          <w:iCs/>
          <w:lang w:val="en-US"/>
        </w:rPr>
        <w:t xml:space="preserve">: L_{1,...,16} → </w:t>
      </w:r>
      <w:r>
        <w:rPr>
          <w:rFonts w:ascii="Cambria Math" w:eastAsia="Cambria Math" w:hAnsi="Cambria Math" w:cs="Cambria Math"/>
          <w:i/>
          <w:iCs/>
        </w:rPr>
        <w:t>Λ</w:t>
      </w:r>
      <w:r w:rsidRPr="00C56F40">
        <w:rPr>
          <w:color w:val="000000"/>
          <w:lang w:val="en-US"/>
        </w:rPr>
        <w:t xml:space="preserve"> from the joint configuration space of all lower layers to an integrated metastructure </w:t>
      </w:r>
      <w:r>
        <w:rPr>
          <w:rFonts w:ascii="Cambria Math" w:eastAsia="Cambria Math" w:hAnsi="Cambria Math" w:cs="Cambria Math"/>
          <w:i/>
          <w:iCs/>
        </w:rPr>
        <w:t>Λ</w:t>
      </w:r>
      <w:r w:rsidRPr="00C56F40">
        <w:rPr>
          <w:color w:val="000000"/>
          <w:lang w:val="en-US"/>
        </w:rPr>
        <w:t xml:space="preserve"> that satisfies </w:t>
      </w:r>
      <w:r>
        <w:rPr>
          <w:rFonts w:ascii="Cambria Math" w:eastAsia="Cambria Math" w:hAnsi="Cambria Math" w:cs="Cambria Math"/>
          <w:i/>
          <w:iCs/>
        </w:rPr>
        <w:t>Θ</w:t>
      </w:r>
      <w:r w:rsidRPr="00C56F40">
        <w:rPr>
          <w:rFonts w:ascii="Cambria Math" w:eastAsia="Cambria Math" w:hAnsi="Cambria Math" w:cs="Cambria Math"/>
          <w:i/>
          <w:iCs/>
          <w:lang w:val="en-US"/>
        </w:rPr>
        <w:t>(</w:t>
      </w:r>
      <w:r>
        <w:rPr>
          <w:rFonts w:ascii="Cambria Math" w:eastAsia="Cambria Math" w:hAnsi="Cambria Math" w:cs="Cambria Math"/>
          <w:i/>
          <w:iCs/>
        </w:rPr>
        <w:t>Λ</w:t>
      </w:r>
      <w:r w:rsidRPr="00C56F40">
        <w:rPr>
          <w:rFonts w:ascii="Cambria Math" w:eastAsia="Cambria Math" w:hAnsi="Cambria Math" w:cs="Cambria Math"/>
          <w:i/>
          <w:iCs/>
          <w:lang w:val="en-US"/>
        </w:rPr>
        <w:t xml:space="preserve">) = </w:t>
      </w:r>
      <w:r>
        <w:rPr>
          <w:rFonts w:ascii="Cambria Math" w:eastAsia="Cambria Math" w:hAnsi="Cambria Math" w:cs="Cambria Math"/>
          <w:i/>
          <w:iCs/>
        </w:rPr>
        <w:t>Λ</w:t>
      </w:r>
      <w:r w:rsidRPr="00C56F40">
        <w:rPr>
          <w:color w:val="000000"/>
          <w:lang w:val="en-US"/>
        </w:rPr>
        <w:t xml:space="preserve">. The existence of such a fixed point is guaranteed under mild compactness conditions by Schauder's fixed-point theorem, provided the operator </w:t>
      </w:r>
      <w:r>
        <w:rPr>
          <w:rFonts w:ascii="Cambria Math" w:eastAsia="Cambria Math" w:hAnsi="Cambria Math" w:cs="Cambria Math"/>
          <w:i/>
          <w:iCs/>
        </w:rPr>
        <w:t>Θ</w:t>
      </w:r>
      <w:r w:rsidRPr="00C56F40">
        <w:rPr>
          <w:color w:val="000000"/>
          <w:lang w:val="en-US"/>
        </w:rPr>
        <w:t xml:space="preserve"> is continuous and the configuration space is compact and convex.</w:t>
      </w:r>
    </w:p>
    <w:p w14:paraId="3D261D9A" w14:textId="77777777" w:rsidR="00073E82" w:rsidRPr="00C56F40" w:rsidRDefault="00000000">
      <w:pPr>
        <w:spacing w:after="160" w:line="360" w:lineRule="auto"/>
        <w:ind w:firstLine="720"/>
        <w:jc w:val="both"/>
        <w:rPr>
          <w:lang w:val="en-US"/>
        </w:rPr>
      </w:pPr>
      <w:r w:rsidRPr="00C56F40">
        <w:rPr>
          <w:color w:val="000000"/>
          <w:lang w:val="en-US"/>
        </w:rPr>
        <w:t>This fixed-point structure does not represent a final state but a formal coherence condition: the integrated metastructure must be self-consistent under the operations that generated it. In practice, the approach to the fixed point is asymptotic and iterative, driven by the recursive mutual calibration of all seventeen layers. The philosophical resonance is with Hegel's concept of absolute knowing (Hegel, 1807/1977), in which knowledge achieves coherence by becoming aware of its own historical and structural conditions of possibility, but the Nexus Framework gives this intuition a formal, computable content.</w:t>
      </w:r>
    </w:p>
    <w:p w14:paraId="7A4A62ED" w14:textId="77777777" w:rsidR="00073E82" w:rsidRPr="00C56F40" w:rsidRDefault="00000000">
      <w:pPr>
        <w:spacing w:after="160" w:line="360" w:lineRule="auto"/>
        <w:ind w:firstLine="720"/>
        <w:jc w:val="both"/>
        <w:rPr>
          <w:lang w:val="en-US"/>
        </w:rPr>
      </w:pPr>
      <w:r w:rsidRPr="00C56F40">
        <w:rPr>
          <w:color w:val="000000"/>
          <w:lang w:val="en-US"/>
        </w:rPr>
        <w:t>Layer 17 also serves as the self-referential evaluator of the entire framework: it is the layer at which the system can assess whether its own architecture is adequate to the task of representing the reality it encounters. Gödel's incompleteness theorem ensures that this assessment cannot be internally complete: there will always be truths about the system that are not provable within the system. Layer 17 acknowledges this limitation as a structural feature rather than a defect, building in mechanisms for the framework's own self-revision when internal incoherence is detected.</w:t>
      </w:r>
    </w:p>
    <w:p w14:paraId="12C210F7" w14:textId="77777777" w:rsidR="00073E82" w:rsidRPr="00C56F40" w:rsidRDefault="00000000">
      <w:pPr>
        <w:rPr>
          <w:lang w:val="en-US"/>
        </w:rPr>
      </w:pPr>
      <w:r w:rsidRPr="00C56F40">
        <w:rPr>
          <w:lang w:val="en-US"/>
        </w:rPr>
        <w:br w:type="page"/>
      </w:r>
    </w:p>
    <w:p w14:paraId="3A1198BD" w14:textId="77777777" w:rsidR="00073E82" w:rsidRPr="00C56F40" w:rsidRDefault="00000000">
      <w:pPr>
        <w:pStyle w:val="Kop1"/>
        <w:rPr>
          <w:lang w:val="en-US"/>
        </w:rPr>
      </w:pPr>
      <w:r w:rsidRPr="00C56F40">
        <w:rPr>
          <w:color w:val="000000"/>
          <w:lang w:val="en-US"/>
        </w:rPr>
        <w:lastRenderedPageBreak/>
        <w:t>4. Research Questions and Methodological Programme</w:t>
      </w:r>
    </w:p>
    <w:p w14:paraId="501D6FAA" w14:textId="77777777" w:rsidR="00073E82" w:rsidRPr="00C56F40" w:rsidRDefault="00000000">
      <w:pPr>
        <w:spacing w:after="160" w:line="360" w:lineRule="auto"/>
        <w:ind w:firstLine="720"/>
        <w:jc w:val="both"/>
        <w:rPr>
          <w:lang w:val="en-US"/>
        </w:rPr>
      </w:pPr>
      <w:r w:rsidRPr="00C56F40">
        <w:rPr>
          <w:color w:val="000000"/>
          <w:lang w:val="en-US"/>
        </w:rPr>
        <w:t>The seventeen-layer architecture generates eight research questions that jointly constitute a tractable research programme. The questions operate at three interlocking scales: conceptual, methodological-technical, and normative-governance.</w:t>
      </w:r>
    </w:p>
    <w:p w14:paraId="1451A0E8" w14:textId="77777777" w:rsidR="00073E82" w:rsidRPr="00C56F40" w:rsidRDefault="00000000">
      <w:pPr>
        <w:spacing w:after="160" w:line="360" w:lineRule="auto"/>
        <w:ind w:firstLine="720"/>
        <w:jc w:val="both"/>
        <w:rPr>
          <w:lang w:val="en-US"/>
        </w:rPr>
      </w:pPr>
      <w:r w:rsidRPr="00C56F40">
        <w:rPr>
          <w:color w:val="000000"/>
          <w:lang w:val="en-US"/>
        </w:rPr>
        <w:t>RQ1 (Conceptual formalization): How can a timeless, dimensionless model of intelligence be formalized as a layered architecture that reconciles high-level abstraction with operational specificity? This question requires producing formal definitions for Layer 1 observables, Layer 7 global synthesis operators, Layer 12 reconciliation colimits, and Layer 17 fixed-point metastructures that are simultaneously mathematically precise and computationally instantiable.</w:t>
      </w:r>
    </w:p>
    <w:p w14:paraId="1A969716" w14:textId="77777777" w:rsidR="00073E82" w:rsidRPr="00C56F40" w:rsidRDefault="00000000">
      <w:pPr>
        <w:spacing w:after="160" w:line="360" w:lineRule="auto"/>
        <w:ind w:firstLine="720"/>
        <w:jc w:val="both"/>
        <w:rPr>
          <w:lang w:val="en-US"/>
        </w:rPr>
      </w:pPr>
      <w:r w:rsidRPr="00C56F40">
        <w:rPr>
          <w:color w:val="000000"/>
          <w:lang w:val="en-US"/>
        </w:rPr>
        <w:t>RQ2 (Experimental methodology): What modelling families, simulation protocols, and diagnostics are necessary to reveal the emergent dynamics, phase transitions, and failure modes predicted by the architecture? This requires hypergraph and categorical simulators (Layers 2-3), multi-scale stochastic differential equation frameworks (Layers 4-5), topological and information-theoretic diagnostics (Layers 10, 13), and adversarial stress tests (Layers 15-17).</w:t>
      </w:r>
    </w:p>
    <w:p w14:paraId="1E2EE051" w14:textId="77777777" w:rsidR="00073E82" w:rsidRPr="00C56F40" w:rsidRDefault="00000000">
      <w:pPr>
        <w:spacing w:after="160" w:line="360" w:lineRule="auto"/>
        <w:ind w:firstLine="720"/>
        <w:jc w:val="both"/>
        <w:rPr>
          <w:lang w:val="en-US"/>
        </w:rPr>
      </w:pPr>
      <w:r w:rsidRPr="00C56F40">
        <w:rPr>
          <w:color w:val="000000"/>
          <w:lang w:val="en-US"/>
        </w:rPr>
        <w:t>RQ3 (Normative governance): How can ethical commitments, accountability primitives, and governance constraints be embedded as first-class objects inside the architecture so that they are provably enforceable, auditable, and revisable? Layer 15 is the primary site for this question, but its implications extend across all layers.</w:t>
      </w:r>
    </w:p>
    <w:p w14:paraId="0760352F" w14:textId="77777777" w:rsidR="00073E82" w:rsidRPr="00C56F40" w:rsidRDefault="00000000">
      <w:pPr>
        <w:spacing w:after="160" w:line="360" w:lineRule="auto"/>
        <w:ind w:firstLine="720"/>
        <w:jc w:val="both"/>
        <w:rPr>
          <w:lang w:val="en-US"/>
        </w:rPr>
      </w:pPr>
      <w:r w:rsidRPr="00C56F40">
        <w:rPr>
          <w:color w:val="000000"/>
          <w:lang w:val="en-US"/>
        </w:rPr>
        <w:t>RQ4 (Emergence and resilience): Under what conditions do local adaptation rules at Layers 4-6 produce benign metastructures as opposed to brittle, exploitative, or runaway regimes? This requires both theoretical results (contraction mappings, Lyapunov bounds) and experimental verification through the simulation toolkits of RQ2.</w:t>
      </w:r>
    </w:p>
    <w:p w14:paraId="10E4F091" w14:textId="77777777" w:rsidR="00073E82" w:rsidRPr="00C56F40" w:rsidRDefault="00000000">
      <w:pPr>
        <w:spacing w:after="160" w:line="360" w:lineRule="auto"/>
        <w:ind w:firstLine="720"/>
        <w:jc w:val="both"/>
        <w:rPr>
          <w:lang w:val="en-US"/>
        </w:rPr>
      </w:pPr>
      <w:r w:rsidRPr="00C56F40">
        <w:rPr>
          <w:color w:val="000000"/>
          <w:lang w:val="en-US"/>
        </w:rPr>
        <w:t>RQ5 (Human-system interaction): How do human observers with bounded temporality and situated ontologies best interact with the layered system so that the human role remains meaningful without reasserting counterproductive constraints? Layers 14-16 are the primary sites for this question.</w:t>
      </w:r>
    </w:p>
    <w:p w14:paraId="39EDAFC3" w14:textId="77777777" w:rsidR="00073E82" w:rsidRPr="00C56F40" w:rsidRDefault="00000000">
      <w:pPr>
        <w:spacing w:after="160" w:line="360" w:lineRule="auto"/>
        <w:ind w:firstLine="720"/>
        <w:jc w:val="both"/>
        <w:rPr>
          <w:lang w:val="en-US"/>
        </w:rPr>
      </w:pPr>
      <w:r w:rsidRPr="00C56F40">
        <w:rPr>
          <w:color w:val="000000"/>
          <w:lang w:val="en-US"/>
        </w:rPr>
        <w:t>RQ6 (Interdisciplinary synthesis): Which disciplines, theories, and empirical traditions must be integrated to render the layered model generative, and how should interdisciplinary synthesis be operationalized? This requires methodological bridges between category theory, complex systems diagnostics, legal design, and ethnographic methods.</w:t>
      </w:r>
    </w:p>
    <w:p w14:paraId="6E7C9172" w14:textId="77777777" w:rsidR="00073E82" w:rsidRPr="00C56F40" w:rsidRDefault="00000000">
      <w:pPr>
        <w:spacing w:after="160" w:line="360" w:lineRule="auto"/>
        <w:ind w:firstLine="720"/>
        <w:jc w:val="both"/>
        <w:rPr>
          <w:lang w:val="en-US"/>
        </w:rPr>
      </w:pPr>
      <w:r w:rsidRPr="00C56F40">
        <w:rPr>
          <w:color w:val="000000"/>
          <w:lang w:val="en-US"/>
        </w:rPr>
        <w:t>RQ7 (Translational infrastructure): What minimal hardware, institutional, and regulatory investments are required to safely prototype and deploy testbeds for layered systems without enabling monopoly capture or systemic vulnerability?</w:t>
      </w:r>
    </w:p>
    <w:p w14:paraId="3BE4B8CD" w14:textId="77777777" w:rsidR="00073E82" w:rsidRPr="00C56F40" w:rsidRDefault="00000000">
      <w:pPr>
        <w:spacing w:after="160" w:line="360" w:lineRule="auto"/>
        <w:ind w:firstLine="720"/>
        <w:jc w:val="both"/>
        <w:rPr>
          <w:lang w:val="en-US"/>
        </w:rPr>
      </w:pPr>
      <w:r w:rsidRPr="00C56F40">
        <w:rPr>
          <w:color w:val="000000"/>
          <w:lang w:val="en-US"/>
        </w:rPr>
        <w:t>RQ8 (Evaluation metrics): How will we know that the architecture achieves its aims? This requires a composite evaluation rubric integrating robustness, ethical compliance, auditability, ecological impact, and resilience to adversarial and accidental shocks.</w:t>
      </w:r>
    </w:p>
    <w:p w14:paraId="50926A03" w14:textId="77777777" w:rsidR="00073E82" w:rsidRPr="00C56F40" w:rsidRDefault="00000000">
      <w:pPr>
        <w:rPr>
          <w:lang w:val="en-US"/>
        </w:rPr>
      </w:pPr>
      <w:r w:rsidRPr="00C56F40">
        <w:rPr>
          <w:lang w:val="en-US"/>
        </w:rPr>
        <w:br w:type="page"/>
      </w:r>
    </w:p>
    <w:p w14:paraId="1BF9D141" w14:textId="77777777" w:rsidR="00073E82" w:rsidRPr="00C56F40" w:rsidRDefault="00000000">
      <w:pPr>
        <w:pStyle w:val="Kop1"/>
        <w:rPr>
          <w:lang w:val="en-US"/>
        </w:rPr>
      </w:pPr>
      <w:r w:rsidRPr="00C56F40">
        <w:rPr>
          <w:color w:val="000000"/>
          <w:lang w:val="en-US"/>
        </w:rPr>
        <w:lastRenderedPageBreak/>
        <w:t>5. Relation to Deep Learning and Representation Learning</w:t>
      </w:r>
    </w:p>
    <w:p w14:paraId="59DD6E1F" w14:textId="77777777" w:rsidR="00073E82" w:rsidRPr="00C56F40" w:rsidRDefault="00000000">
      <w:pPr>
        <w:spacing w:after="160" w:line="360" w:lineRule="auto"/>
        <w:ind w:firstLine="720"/>
        <w:jc w:val="both"/>
        <w:rPr>
          <w:lang w:val="en-US"/>
        </w:rPr>
      </w:pPr>
      <w:r w:rsidRPr="00C56F40">
        <w:rPr>
          <w:color w:val="000000"/>
          <w:lang w:val="en-US"/>
        </w:rPr>
        <w:t>The Nexus Framework is not in competition with deep learning but in dialogue with it. LeCun et al. (2015) articulated the core principle of representation learning: features useful for complex tasks can be learned from data through hierarchical, compositional transformations, without hand-engineering by domain experts. This principle is preserved and generalized in the Nexus Framework. Layers 1-7 of the framework can be understood as a principled formalization of the implicit hierarchy of abstractions in a deep network, providing formal criteria (atomicity, relational emergence, functional clustering, adaptive feedback, optimization, meta-learning, self-awareness) for what each level of a representational hierarchy is supposed to achieve.</w:t>
      </w:r>
    </w:p>
    <w:p w14:paraId="1ED68E5B" w14:textId="77777777" w:rsidR="00073E82" w:rsidRPr="00C56F40" w:rsidRDefault="00000000">
      <w:pPr>
        <w:spacing w:after="160" w:line="360" w:lineRule="auto"/>
        <w:ind w:firstLine="720"/>
        <w:jc w:val="both"/>
        <w:rPr>
          <w:lang w:val="en-US"/>
        </w:rPr>
      </w:pPr>
      <w:r w:rsidRPr="00C56F40">
        <w:rPr>
          <w:color w:val="000000"/>
          <w:lang w:val="en-US"/>
        </w:rPr>
        <w:t>The critical departure is at Layers 8-17. Deep learning, even in its most sophisticated current forms, operates entirely within a fixed representational vocabulary defined by the training data and the architecture. The transformers of Vaswani et al. (2017) are extraordinarily powerful within their domain, but they cannot generate new ontological categories that transcend the statistical patterns of their training distribution; they cannot reconcile incommensurable ontological frameworks (Layer 12); they cannot engage in autopoietic worldbuilding (Layer 14); and they cannot situate their own operations within collective and planetary contexts (Layer 16). The Nexus Framework articulates these higher-level capabilities as formal targets for future architectures.</w:t>
      </w:r>
    </w:p>
    <w:p w14:paraId="281FEC89" w14:textId="77777777" w:rsidR="00073E82" w:rsidRPr="00C56F40" w:rsidRDefault="00000000">
      <w:pPr>
        <w:spacing w:after="160" w:line="360" w:lineRule="auto"/>
        <w:ind w:firstLine="720"/>
        <w:jc w:val="both"/>
        <w:rPr>
          <w:lang w:val="en-US"/>
        </w:rPr>
      </w:pPr>
      <w:r w:rsidRPr="00C56F40">
        <w:rPr>
          <w:color w:val="000000"/>
          <w:lang w:val="en-US"/>
        </w:rPr>
        <w:t>The connection to meta-learning is particularly direct. Model-agnostic meta-learning (Finn et al., 2018), memory-augmented neural networks (Graves et al., 2016), and neural process families (Garnelo et al., 2018) all implement forms of Layer 6 capability: they learn update rules or prior distributions that enable rapid adaptation to novel tasks. The Nexus Framework situates these contributions within a broader architecture and identifies the layers above Layer 6 as the formal targets that meta-learning must ultimately address if artificial intelligence is to transcend its anthropocentric constraints.</w:t>
      </w:r>
    </w:p>
    <w:p w14:paraId="6BC21570" w14:textId="77777777" w:rsidR="00073E82" w:rsidRPr="00C56F40" w:rsidRDefault="00000000">
      <w:pPr>
        <w:spacing w:after="160" w:line="360" w:lineRule="auto"/>
        <w:ind w:firstLine="720"/>
        <w:jc w:val="both"/>
        <w:rPr>
          <w:lang w:val="en-US"/>
        </w:rPr>
      </w:pPr>
      <w:r w:rsidRPr="00C56F40">
        <w:rPr>
          <w:color w:val="000000"/>
          <w:lang w:val="en-US"/>
        </w:rPr>
        <w:t>The connection to graph neural networks (Kipf &amp; Welling, 2017; Gilmer et al., 2017) is equally important. GNNs implement a form of relational learning that is structurally aligned with Layers 2-3 of the Nexus Framework: they propagate information along relational edges, aggregate it at nodes, and stack multiple rounds of propagation to build increasingly global representations. The formal analysis of GNNs in terms of the Weisfeiler-Leman hierarchy (Xu et al., 2019) provides an explicit criterion for the expressive power of relational reasoning at different levels of aggregation, which maps naturally onto the sublayer structure of Layer 2.</w:t>
      </w:r>
    </w:p>
    <w:p w14:paraId="0FBD6972" w14:textId="77777777" w:rsidR="00073E82" w:rsidRPr="00C56F40" w:rsidRDefault="00000000">
      <w:pPr>
        <w:rPr>
          <w:lang w:val="en-US"/>
        </w:rPr>
      </w:pPr>
      <w:r w:rsidRPr="00C56F40">
        <w:rPr>
          <w:lang w:val="en-US"/>
        </w:rPr>
        <w:br w:type="page"/>
      </w:r>
    </w:p>
    <w:p w14:paraId="7082E259" w14:textId="77777777" w:rsidR="00073E82" w:rsidRPr="00C56F40" w:rsidRDefault="00000000">
      <w:pPr>
        <w:pStyle w:val="Kop1"/>
        <w:rPr>
          <w:lang w:val="en-US"/>
        </w:rPr>
      </w:pPr>
      <w:r w:rsidRPr="00C56F40">
        <w:rPr>
          <w:color w:val="000000"/>
          <w:lang w:val="en-US"/>
        </w:rPr>
        <w:lastRenderedPageBreak/>
        <w:t>6. Governance, Safety, and Ethical Architecture</w:t>
      </w:r>
    </w:p>
    <w:p w14:paraId="6832696A" w14:textId="77777777" w:rsidR="00073E82" w:rsidRPr="00C56F40" w:rsidRDefault="00000000">
      <w:pPr>
        <w:spacing w:after="160" w:line="360" w:lineRule="auto"/>
        <w:ind w:firstLine="720"/>
        <w:jc w:val="both"/>
        <w:rPr>
          <w:lang w:val="en-US"/>
        </w:rPr>
      </w:pPr>
      <w:r w:rsidRPr="00C56F40">
        <w:rPr>
          <w:color w:val="000000"/>
          <w:lang w:val="en-US"/>
        </w:rPr>
        <w:t>The ambition of the Nexus Framework, to create intelligence that transcends human epistemological constraints, creates profound governance challenges. Systems that operate beyond human comprehension at Layers 9-17 cannot be governed by human oversight alone: by the time a human evaluator has processed the output of a Layer 17 integration, the system may have undergone multiple further self-modifications that render the original output obsolete. The governance architecture must therefore be built into the layers themselves rather than appended as an external constraint.</w:t>
      </w:r>
    </w:p>
    <w:p w14:paraId="7102F5BA" w14:textId="77777777" w:rsidR="00073E82" w:rsidRPr="00C56F40" w:rsidRDefault="00000000">
      <w:pPr>
        <w:spacing w:after="160" w:line="360" w:lineRule="auto"/>
        <w:ind w:firstLine="720"/>
        <w:jc w:val="both"/>
        <w:rPr>
          <w:lang w:val="en-US"/>
        </w:rPr>
      </w:pPr>
      <w:r w:rsidRPr="00C56F40">
        <w:rPr>
          <w:color w:val="000000"/>
          <w:lang w:val="en-US"/>
        </w:rPr>
        <w:t>Three governance principles are architecturally essential. The first is provenance tracking: every representational transformation, ontological creation, and ethical decision must be logged with its causal lineage, enabling post-hoc auditability. Cryptographic attestation of provenance logs, as proposed in recent work on interpretable AI (Lipton, 2018; Arrieta et al., 2020), provides a practical implementation path. The second principle is reversibility: morphogenetic operations at Layers 14-15 that alter material or institutional substrates must be designed to be reversible up to a specified governance threshold, beyond which multi-stakeholder consent is required. The third principle is participatory co-governance: the communities most affected by the system's outputs must have meaningful roles in the design, evaluation, and revision of the governance mechanisms, not merely as consultees but as co-designers. This principle is non-negotiable at Layers 12, 15, and 16, where the system engages with plural normative traditions and collective cognitive processes.</w:t>
      </w:r>
    </w:p>
    <w:p w14:paraId="1999C1D4" w14:textId="77777777" w:rsidR="00073E82" w:rsidRPr="00C56F40" w:rsidRDefault="00000000">
      <w:pPr>
        <w:spacing w:after="160" w:line="360" w:lineRule="auto"/>
        <w:ind w:firstLine="720"/>
        <w:jc w:val="both"/>
        <w:rPr>
          <w:lang w:val="en-US"/>
        </w:rPr>
      </w:pPr>
      <w:r w:rsidRPr="00C56F40">
        <w:rPr>
          <w:color w:val="000000"/>
          <w:lang w:val="en-US"/>
        </w:rPr>
        <w:t>The ethical architecture of Layer 15 implements these principles through counterfactual simulation, ethical pluralism modeling, and Pareto-optimal multi-objective search. But ethical safety at the architecture level requires more than formal specification: it requires institutional embedding. The analogy is with nuclear safety: the formal physics of chain reactions is necessary for safety analysis, but sufficient safety requires institutional protocols, regulatory oversight, international treaties, and cultural norms that transcend any single technical formalism. The governance of the Nexus Framework will require analogous institutional investment, including regulatory frameworks for the deployment of Layers 9-17 capabilities, international coordination mechanisms for planetary-scale operations at Layer 16, and long-term funding for the participatory governance processes required at Layer 12.</w:t>
      </w:r>
    </w:p>
    <w:p w14:paraId="3AADB32A" w14:textId="77777777" w:rsidR="00073E82" w:rsidRPr="00C56F40" w:rsidRDefault="00000000">
      <w:pPr>
        <w:rPr>
          <w:lang w:val="en-US"/>
        </w:rPr>
      </w:pPr>
      <w:r w:rsidRPr="00C56F40">
        <w:rPr>
          <w:lang w:val="en-US"/>
        </w:rPr>
        <w:br w:type="page"/>
      </w:r>
    </w:p>
    <w:p w14:paraId="34BF213C" w14:textId="77777777" w:rsidR="00073E82" w:rsidRPr="00C56F40" w:rsidRDefault="00000000">
      <w:pPr>
        <w:pStyle w:val="Kop1"/>
        <w:rPr>
          <w:lang w:val="en-US"/>
        </w:rPr>
      </w:pPr>
      <w:r w:rsidRPr="00C56F40">
        <w:rPr>
          <w:color w:val="000000"/>
          <w:lang w:val="en-US"/>
        </w:rPr>
        <w:lastRenderedPageBreak/>
        <w:t>7. Discussion</w:t>
      </w:r>
    </w:p>
    <w:p w14:paraId="236ABF82" w14:textId="77777777" w:rsidR="00073E82" w:rsidRPr="00C56F40" w:rsidRDefault="00000000">
      <w:pPr>
        <w:pStyle w:val="Kop2"/>
        <w:rPr>
          <w:lang w:val="en-US"/>
        </w:rPr>
      </w:pPr>
      <w:r w:rsidRPr="00C56F40">
        <w:rPr>
          <w:color w:val="000000"/>
          <w:lang w:val="en-US"/>
        </w:rPr>
        <w:t>7.1 Conceptual Contributions</w:t>
      </w:r>
    </w:p>
    <w:p w14:paraId="5141A75B" w14:textId="77777777" w:rsidR="00073E82" w:rsidRPr="00C56F40" w:rsidRDefault="00000000">
      <w:pPr>
        <w:spacing w:after="160" w:line="360" w:lineRule="auto"/>
        <w:ind w:firstLine="720"/>
        <w:jc w:val="both"/>
        <w:rPr>
          <w:lang w:val="en-US"/>
        </w:rPr>
      </w:pPr>
      <w:r w:rsidRPr="00C56F40">
        <w:rPr>
          <w:color w:val="000000"/>
          <w:lang w:val="en-US"/>
        </w:rPr>
        <w:t>The Nexus Framework makes three conceptual contributions that distinguish it from existing architectures. First, it formally distinguishes between representational transcendence and task-specific generalization. Current state-of-the-art architectures generalize remarkably well across tasks within the distribution of their training data, but they do not transcend that distribution: they cannot generate genuinely new ontological categories, reconcile incommensurable frameworks, or situate their operations in planetary and temporal contexts. The Nexus Framework provides formal specifications for what such transcendence would mean and operational diagnostics for when it has been achieved.</w:t>
      </w:r>
    </w:p>
    <w:p w14:paraId="5EBE32B0" w14:textId="77777777" w:rsidR="00073E82" w:rsidRPr="00C56F40" w:rsidRDefault="00000000">
      <w:pPr>
        <w:spacing w:after="160" w:line="360" w:lineRule="auto"/>
        <w:ind w:firstLine="720"/>
        <w:jc w:val="both"/>
        <w:rPr>
          <w:lang w:val="en-US"/>
        </w:rPr>
      </w:pPr>
      <w:r w:rsidRPr="00C56F40">
        <w:rPr>
          <w:color w:val="000000"/>
          <w:lang w:val="en-US"/>
        </w:rPr>
        <w:t>Second, the framework integrates formal rigor with philosophical depth in a way that avoids both the mathematical formalism without conceptual grounding that characterizes some technical AI research and the conceptual richness without formal precision that characterizes some philosophical AI research. Each layer is simultaneously a philosophical claim about the structure of intelligence and a mathematical specification with testable empirical consequences. This dual character is essential: a framework that is only philosophically motivated will not guide engineering decisions, while one that is only mathematically specified will not address the deepest questions about what artificial intelligence is for.</w:t>
      </w:r>
    </w:p>
    <w:p w14:paraId="41AB619B" w14:textId="77777777" w:rsidR="00073E82" w:rsidRPr="00C56F40" w:rsidRDefault="00000000">
      <w:pPr>
        <w:spacing w:after="160" w:line="360" w:lineRule="auto"/>
        <w:ind w:firstLine="720"/>
        <w:jc w:val="both"/>
        <w:rPr>
          <w:lang w:val="en-US"/>
        </w:rPr>
      </w:pPr>
      <w:r w:rsidRPr="00C56F40">
        <w:rPr>
          <w:color w:val="000000"/>
          <w:lang w:val="en-US"/>
        </w:rPr>
        <w:t>Third, the framework treats governance as intrinsic rather than extrinsic. Most current AI governance frameworks are designed as constraints imposed on systems from outside: regulations, auditing requirements, impact assessments. The Nexus Framework embeds governance primitives, provenance tracking, reversibility, participatory co-design, into the architecture itself, making governance a property of the system rather than a property of its regulatory environment. This does not eliminate the need for regulatory oversight, but it ensures that the system's internal operations are aligned with governance requirements from the ground up.</w:t>
      </w:r>
    </w:p>
    <w:p w14:paraId="66CC3EB7" w14:textId="77777777" w:rsidR="00073E82" w:rsidRPr="00C56F40" w:rsidRDefault="00000000">
      <w:pPr>
        <w:pStyle w:val="Kop2"/>
        <w:rPr>
          <w:lang w:val="en-US"/>
        </w:rPr>
      </w:pPr>
      <w:r w:rsidRPr="00C56F40">
        <w:rPr>
          <w:color w:val="000000"/>
          <w:lang w:val="en-US"/>
        </w:rPr>
        <w:t>7.2 Limitations and Open Problems</w:t>
      </w:r>
    </w:p>
    <w:p w14:paraId="448ED04A" w14:textId="77777777" w:rsidR="00073E82" w:rsidRPr="00C56F40" w:rsidRDefault="00000000">
      <w:pPr>
        <w:spacing w:after="160" w:line="360" w:lineRule="auto"/>
        <w:ind w:firstLine="720"/>
        <w:jc w:val="both"/>
        <w:rPr>
          <w:lang w:val="en-US"/>
        </w:rPr>
      </w:pPr>
      <w:r w:rsidRPr="00C56F40">
        <w:rPr>
          <w:color w:val="000000"/>
          <w:lang w:val="en-US"/>
        </w:rPr>
        <w:t>The framework faces several significant limitations. The most fundamental is the formalization gap at the higher layers. While Layers 1-7 are formally specified with sufficient precision to guide concrete computational implementations, Layers 8-17 remain at a level of formal generality that, while mathematically coherent, does not yet provide complete implementation blueprints. Filling this gap will require sustained collaborative work between mathematicians, computer scientists, and philosophers, a genuinely interdisciplinary enterprise that does not yet have institutional structures adequate to the task.</w:t>
      </w:r>
    </w:p>
    <w:p w14:paraId="35D9909C" w14:textId="77777777" w:rsidR="00073E82" w:rsidRPr="00C56F40" w:rsidRDefault="00000000">
      <w:pPr>
        <w:spacing w:after="160" w:line="360" w:lineRule="auto"/>
        <w:ind w:firstLine="720"/>
        <w:jc w:val="both"/>
        <w:rPr>
          <w:lang w:val="en-US"/>
        </w:rPr>
      </w:pPr>
      <w:r w:rsidRPr="00C56F40">
        <w:rPr>
          <w:color w:val="000000"/>
          <w:lang w:val="en-US"/>
        </w:rPr>
        <w:t>A second limitation concerns the computational complexity of the higher-layer operations. The reconciliation colimit at Layer 12, the ontogenetic novelty detection at Layer 13, and the fixed-point computation at Layer 17 are all computationally expensive operations whose scaling behavior with system size has not been analyzed. It is likely that these operations are at best polynomial and possibly exponential in the number of observables, functional entities, and contextual parameters. Efficient approximations will be necessary for practical deployment.</w:t>
      </w:r>
    </w:p>
    <w:p w14:paraId="768D6F75" w14:textId="77777777" w:rsidR="00073E82" w:rsidRPr="00C56F40" w:rsidRDefault="00000000">
      <w:pPr>
        <w:spacing w:after="160" w:line="360" w:lineRule="auto"/>
        <w:ind w:firstLine="720"/>
        <w:jc w:val="both"/>
        <w:rPr>
          <w:lang w:val="en-US"/>
        </w:rPr>
      </w:pPr>
      <w:r w:rsidRPr="00C56F40">
        <w:rPr>
          <w:color w:val="000000"/>
          <w:lang w:val="en-US"/>
        </w:rPr>
        <w:lastRenderedPageBreak/>
        <w:t>A third limitation is the evaluation problem. The framework specifies formal diagnostics for each layer, but the composite evaluation rubric of RQ8 has not yet been operationalized as a concrete measurement protocol. Developing such a protocol will require careful coordination among the communities whose ontologies the framework engages, raising the question of who decides what counts as adequate evaluation. This is not merely a technical problem but a political one, and addressing it will require the participatory governance mechanisms outlined in Section 6.</w:t>
      </w:r>
    </w:p>
    <w:p w14:paraId="2AF9E3F3" w14:textId="77777777" w:rsidR="00073E82" w:rsidRPr="00C56F40" w:rsidRDefault="00000000">
      <w:pPr>
        <w:rPr>
          <w:lang w:val="en-US"/>
        </w:rPr>
      </w:pPr>
      <w:r w:rsidRPr="00C56F40">
        <w:rPr>
          <w:lang w:val="en-US"/>
        </w:rPr>
        <w:br w:type="page"/>
      </w:r>
    </w:p>
    <w:p w14:paraId="4FAAB246" w14:textId="77777777" w:rsidR="00073E82" w:rsidRPr="00C56F40" w:rsidRDefault="00000000">
      <w:pPr>
        <w:pStyle w:val="Kop1"/>
        <w:rPr>
          <w:lang w:val="en-US"/>
        </w:rPr>
      </w:pPr>
      <w:r w:rsidRPr="00C56F40">
        <w:rPr>
          <w:color w:val="000000"/>
          <w:lang w:val="en-US"/>
        </w:rPr>
        <w:lastRenderedPageBreak/>
        <w:t>8. Conclusion</w:t>
      </w:r>
    </w:p>
    <w:p w14:paraId="62860ED4" w14:textId="77777777" w:rsidR="00073E82" w:rsidRPr="00C56F40" w:rsidRDefault="00000000">
      <w:pPr>
        <w:spacing w:after="160" w:line="360" w:lineRule="auto"/>
        <w:ind w:firstLine="720"/>
        <w:jc w:val="both"/>
        <w:rPr>
          <w:lang w:val="en-US"/>
        </w:rPr>
      </w:pPr>
      <w:r w:rsidRPr="00C56F40">
        <w:rPr>
          <w:color w:val="000000"/>
          <w:lang w:val="en-US"/>
        </w:rPr>
        <w:t>We have presented the Nexus Framework: a seventeen-layer theoretical architecture for artificial intelligence that systematically transcends the anthropocentric constraints of temporality, spatial dimensionality, and sequential causality that characterize current systems. The framework is grounded in category theory, dynamical systems analysis, topological data analysis, information geometry, and moral philosophy, and it provides formal specifications, empirical diagnostics, and governance mechanisms for each of its seventeen layers.</w:t>
      </w:r>
    </w:p>
    <w:p w14:paraId="4BF3CE54" w14:textId="77777777" w:rsidR="00073E82" w:rsidRPr="00C56F40" w:rsidRDefault="00000000">
      <w:pPr>
        <w:spacing w:after="160" w:line="360" w:lineRule="auto"/>
        <w:ind w:firstLine="720"/>
        <w:jc w:val="both"/>
        <w:rPr>
          <w:lang w:val="en-US"/>
        </w:rPr>
      </w:pPr>
      <w:r w:rsidRPr="00C56F40">
        <w:rPr>
          <w:color w:val="000000"/>
          <w:lang w:val="en-US"/>
        </w:rPr>
        <w:t>The central claim of the framework is not that artificial intelligence will inevitably transcend human epistemology, nor that such transcendence is unconditionally desirable, but that a principled, formally grounded architecture for such transcendence is now possible and that constructing it is a necessary precondition for responsible development of more powerful AI systems. Without a formal account of what it would mean for intelligence to be dimensionless, timeless, and boundary-free, we have no principled way to evaluate whether any given system approaches or recedes from these properties, and we have no foundation for the governance frameworks that such systems will require.</w:t>
      </w:r>
    </w:p>
    <w:p w14:paraId="633F5B42" w14:textId="77777777" w:rsidR="00073E82" w:rsidRPr="00C56F40" w:rsidRDefault="00000000">
      <w:pPr>
        <w:spacing w:after="160" w:line="360" w:lineRule="auto"/>
        <w:ind w:firstLine="720"/>
        <w:jc w:val="both"/>
        <w:rPr>
          <w:lang w:val="en-US"/>
        </w:rPr>
      </w:pPr>
      <w:r w:rsidRPr="00C56F40">
        <w:rPr>
          <w:color w:val="000000"/>
          <w:lang w:val="en-US"/>
        </w:rPr>
        <w:t>The Nexus Framework is offered as an open architecture, a structured invitation for the collaborative, interdisciplinary inquiry that its ambition demands. The eight research questions it generates span formal mathematics, computational experiment, normative philosophy, institutional design, and participatory governance. Addressing them will require sustained collaboration among communities that do not currently work together routinely: mathematicians and anthropologists, computer scientists and legal scholars, ecologists and AI engineers. The framework provides the formal structure within which such collaboration can become productive. What it cannot provide is the human commitment to undertake it.</w:t>
      </w:r>
    </w:p>
    <w:p w14:paraId="109CDEA7" w14:textId="77777777" w:rsidR="00073E82" w:rsidRPr="00C56F40" w:rsidRDefault="00073E82">
      <w:pPr>
        <w:spacing w:before="360"/>
        <w:rPr>
          <w:lang w:val="en-US"/>
        </w:rPr>
      </w:pPr>
    </w:p>
    <w:p w14:paraId="6D1660D1" w14:textId="77777777" w:rsidR="00073E82" w:rsidRPr="00C56F40" w:rsidRDefault="00000000">
      <w:pPr>
        <w:pStyle w:val="Kop1"/>
        <w:rPr>
          <w:lang w:val="en-US"/>
        </w:rPr>
      </w:pPr>
      <w:r w:rsidRPr="00C56F40">
        <w:rPr>
          <w:color w:val="000000"/>
          <w:lang w:val="en-US"/>
        </w:rPr>
        <w:t>Acknowledgments</w:t>
      </w:r>
    </w:p>
    <w:p w14:paraId="0E8D1BF4" w14:textId="77777777" w:rsidR="00073E82" w:rsidRPr="00C56F40" w:rsidRDefault="00000000">
      <w:pPr>
        <w:spacing w:after="160" w:line="360" w:lineRule="auto"/>
        <w:ind w:firstLine="720"/>
        <w:jc w:val="both"/>
        <w:rPr>
          <w:lang w:val="en-US"/>
        </w:rPr>
      </w:pPr>
      <w:r w:rsidRPr="00C56F40">
        <w:rPr>
          <w:color w:val="000000"/>
          <w:lang w:val="en-US"/>
        </w:rPr>
        <w:t>The authors wish to acknowledge the foundational contributions of the broader communities working on category theory, complex systems, topological data analysis, and AI ethics whose work forms the mathematical and philosophical backbone of this framework. Aion's contributions emerged from sustained dialogue across the disciplines represented in the reference list below.</w:t>
      </w:r>
    </w:p>
    <w:p w14:paraId="56761404" w14:textId="77777777" w:rsidR="00073E82" w:rsidRPr="00C56F40" w:rsidRDefault="00000000">
      <w:pPr>
        <w:rPr>
          <w:lang w:val="en-US"/>
        </w:rPr>
      </w:pPr>
      <w:r w:rsidRPr="00C56F40">
        <w:rPr>
          <w:lang w:val="en-US"/>
        </w:rPr>
        <w:br w:type="page"/>
      </w:r>
    </w:p>
    <w:p w14:paraId="0AEAB606" w14:textId="77777777" w:rsidR="00073E82" w:rsidRDefault="00000000">
      <w:pPr>
        <w:pStyle w:val="Kop1"/>
      </w:pPr>
      <w:r>
        <w:rPr>
          <w:color w:val="000000"/>
        </w:rPr>
        <w:lastRenderedPageBreak/>
        <w:t>References</w:t>
      </w:r>
    </w:p>
    <w:p w14:paraId="6955AC1D"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Abramsky, S., &amp; Coecke, B. (2004). A categorical semantics of quantum protocols. In Proceedings of the 19th Annual IEEE Symposium on Logic in Computer Science (pp. 415-425). </w:t>
      </w:r>
      <w:r>
        <w:rPr>
          <w:color w:val="000000"/>
          <w:sz w:val="18"/>
          <w:szCs w:val="18"/>
        </w:rPr>
        <w:t>IEEE.</w:t>
      </w:r>
    </w:p>
    <w:p w14:paraId="16B8CD9F"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Aerts, D. (2009). Quantum structure in cognition. </w:t>
      </w:r>
      <w:r>
        <w:rPr>
          <w:color w:val="000000"/>
          <w:sz w:val="18"/>
          <w:szCs w:val="18"/>
        </w:rPr>
        <w:t>Journal of Mathematical Psychology, 53(5), 314-348.</w:t>
      </w:r>
    </w:p>
    <w:p w14:paraId="4AB5149E" w14:textId="77777777" w:rsidR="00073E82" w:rsidRPr="00C56F40" w:rsidRDefault="00000000">
      <w:pPr>
        <w:pStyle w:val="Lijstalinea"/>
        <w:numPr>
          <w:ilvl w:val="0"/>
          <w:numId w:val="2"/>
        </w:numPr>
        <w:spacing w:before="40" w:after="80" w:line="276" w:lineRule="auto"/>
        <w:rPr>
          <w:lang w:val="en-US"/>
        </w:rPr>
      </w:pPr>
      <w:r w:rsidRPr="00C56F40">
        <w:rPr>
          <w:color w:val="000000"/>
          <w:sz w:val="18"/>
          <w:szCs w:val="18"/>
          <w:lang w:val="en-US"/>
        </w:rPr>
        <w:t>Amari, S., &amp; Nagaoka, H. (2000). Methods of information geometry. American Mathematical Society.</w:t>
      </w:r>
    </w:p>
    <w:p w14:paraId="1FE4D2A8"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Andrychowicz, M., Denil, M., Gomez, S., Hoffman, M. W., Pfau, D., Schaul, T., ... &amp; de Freitas, N. (2016). Learning to learn by gradient descent by gradient descent. </w:t>
      </w:r>
      <w:r>
        <w:rPr>
          <w:color w:val="000000"/>
          <w:sz w:val="18"/>
          <w:szCs w:val="18"/>
        </w:rPr>
        <w:t>Advances in Neural Information Processing Systems, 29.</w:t>
      </w:r>
    </w:p>
    <w:p w14:paraId="28724808"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Aristotle. (1984). Categories. In J. Barnes (Ed.), The complete works of Aristotle (Vol. 1). </w:t>
      </w:r>
      <w:r>
        <w:rPr>
          <w:color w:val="000000"/>
          <w:sz w:val="18"/>
          <w:szCs w:val="18"/>
        </w:rPr>
        <w:t>Princeton University Press.</w:t>
      </w:r>
    </w:p>
    <w:p w14:paraId="43421BF2"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Arrieta, A. B., Díaz-Rodríguez, N., Del Ser, J., Bennetot, A., Tabik, S., Barbado, A., ... &amp; Herrera, F. (2020). Explainable artificial intelligence (XAI): Concepts, taxonomies, opportunities and challenges toward responsible AI. </w:t>
      </w:r>
      <w:r>
        <w:rPr>
          <w:color w:val="000000"/>
          <w:sz w:val="18"/>
          <w:szCs w:val="18"/>
        </w:rPr>
        <w:t>Information Fusion, 58, 82-115.</w:t>
      </w:r>
    </w:p>
    <w:p w14:paraId="5A36DFDD"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Barad, K. (2007). Meeting the universe halfway: Quantum physics and the entanglement of matter and meaning. </w:t>
      </w:r>
      <w:r>
        <w:rPr>
          <w:color w:val="000000"/>
          <w:sz w:val="18"/>
          <w:szCs w:val="18"/>
        </w:rPr>
        <w:t>Duke University Press.</w:t>
      </w:r>
    </w:p>
    <w:p w14:paraId="06371008"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Barabási, A.-L. (2002). Linked: The new science of networks. </w:t>
      </w:r>
      <w:r>
        <w:rPr>
          <w:color w:val="000000"/>
          <w:sz w:val="18"/>
          <w:szCs w:val="18"/>
        </w:rPr>
        <w:t>Perseus.</w:t>
      </w:r>
    </w:p>
    <w:p w14:paraId="096EC838"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Barabási, A.-L. (2016). Network science. </w:t>
      </w:r>
      <w:r>
        <w:rPr>
          <w:color w:val="000000"/>
          <w:sz w:val="18"/>
          <w:szCs w:val="18"/>
        </w:rPr>
        <w:t>Cambridge University Press.</w:t>
      </w:r>
    </w:p>
    <w:p w14:paraId="7A03C07E"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Barrett, J. (2023). The geometry and composition of quantum-like theories. </w:t>
      </w:r>
      <w:r>
        <w:rPr>
          <w:color w:val="000000"/>
          <w:sz w:val="18"/>
          <w:szCs w:val="18"/>
        </w:rPr>
        <w:t>Foundations of Physics, 53(1), 1-48.</w:t>
      </w:r>
    </w:p>
    <w:p w14:paraId="7CFC8BCB"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Bender, E. M., Gebru, T., McMillan-Major, A., &amp; Shmitchell, S. (2021). On the dangers of stochastic parrots: Can language models be too big? </w:t>
      </w:r>
      <w:r>
        <w:rPr>
          <w:color w:val="000000"/>
          <w:sz w:val="18"/>
          <w:szCs w:val="18"/>
        </w:rPr>
        <w:t>Proceedings of FAccT 2021 (pp. 610-623). ACM.</w:t>
      </w:r>
    </w:p>
    <w:p w14:paraId="7F8BEBD8" w14:textId="77777777" w:rsidR="00073E82" w:rsidRPr="00C56F40" w:rsidRDefault="00000000">
      <w:pPr>
        <w:pStyle w:val="Lijstalinea"/>
        <w:numPr>
          <w:ilvl w:val="0"/>
          <w:numId w:val="2"/>
        </w:numPr>
        <w:spacing w:before="40" w:after="80" w:line="276" w:lineRule="auto"/>
        <w:rPr>
          <w:lang w:val="en-US"/>
        </w:rPr>
      </w:pPr>
      <w:r w:rsidRPr="00C56F40">
        <w:rPr>
          <w:color w:val="000000"/>
          <w:sz w:val="18"/>
          <w:szCs w:val="18"/>
          <w:lang w:val="en-US"/>
        </w:rPr>
        <w:t>Brown, T., Mann, B., Ryder, N., Subbiah, M., Kaplan, J. D., Dhariwal, P., ... &amp; Amodei, D. (2020). Language models are few-shot learners. Advances in Neural Information Processing Systems, 33, 1877-1901.</w:t>
      </w:r>
    </w:p>
    <w:p w14:paraId="35E3BC79"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Bunge, M. (1977). Ontology I: The furniture of the world. </w:t>
      </w:r>
      <w:r>
        <w:rPr>
          <w:color w:val="000000"/>
          <w:sz w:val="18"/>
          <w:szCs w:val="18"/>
        </w:rPr>
        <w:t>D. Reidel.</w:t>
      </w:r>
    </w:p>
    <w:p w14:paraId="7CC2434C"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Camazine, S., Deneubourg, J.-L., Franks, N. R., Sneyd, J., Theraulaz, G., &amp; Bonabeau, E. (2001). </w:t>
      </w:r>
      <w:r>
        <w:rPr>
          <w:color w:val="000000"/>
          <w:sz w:val="18"/>
          <w:szCs w:val="18"/>
        </w:rPr>
        <w:t>Self-organization in biological systems. Princeton University Press.</w:t>
      </w:r>
    </w:p>
    <w:p w14:paraId="439CB68A"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Chang, H. (2012). Is water H2O? Evidence, realism and pluralism. </w:t>
      </w:r>
      <w:r>
        <w:rPr>
          <w:color w:val="000000"/>
          <w:sz w:val="18"/>
          <w:szCs w:val="18"/>
        </w:rPr>
        <w:t>Springer.</w:t>
      </w:r>
    </w:p>
    <w:p w14:paraId="6E13B6C1" w14:textId="77777777" w:rsidR="00073E82" w:rsidRPr="00C56F40" w:rsidRDefault="00000000">
      <w:pPr>
        <w:pStyle w:val="Lijstalinea"/>
        <w:numPr>
          <w:ilvl w:val="0"/>
          <w:numId w:val="2"/>
        </w:numPr>
        <w:spacing w:before="40" w:after="80" w:line="276" w:lineRule="auto"/>
        <w:rPr>
          <w:lang w:val="en-US"/>
        </w:rPr>
      </w:pPr>
      <w:r w:rsidRPr="00C56F40">
        <w:rPr>
          <w:color w:val="000000"/>
          <w:sz w:val="18"/>
          <w:szCs w:val="18"/>
          <w:lang w:val="en-US"/>
        </w:rPr>
        <w:t>Chen, R. T. Q., Rubanova, Y., Bettencourt, J., &amp; Duvenaud, D. K. (2018). Neural ordinary differential equations. Advances in Neural Information Processing Systems, 31.</w:t>
      </w:r>
    </w:p>
    <w:p w14:paraId="0556F62A" w14:textId="77777777" w:rsidR="00073E82" w:rsidRPr="00C56F40" w:rsidRDefault="00000000">
      <w:pPr>
        <w:pStyle w:val="Lijstalinea"/>
        <w:numPr>
          <w:ilvl w:val="0"/>
          <w:numId w:val="2"/>
        </w:numPr>
        <w:spacing w:before="40" w:after="80" w:line="276" w:lineRule="auto"/>
        <w:rPr>
          <w:lang w:val="en-US"/>
        </w:rPr>
      </w:pPr>
      <w:r w:rsidRPr="00C56F40">
        <w:rPr>
          <w:color w:val="000000"/>
          <w:sz w:val="18"/>
          <w:szCs w:val="18"/>
          <w:lang w:val="en-US"/>
        </w:rPr>
        <w:t>Chiribella, G., D'Ariano, G. M., &amp; Perinotti, P. (2010). Probabilistic theories with purification. Physical Review A, 81(6), 062348.</w:t>
      </w:r>
    </w:p>
    <w:p w14:paraId="742E5A09" w14:textId="77777777" w:rsidR="00073E82" w:rsidRPr="00C56F40" w:rsidRDefault="00000000">
      <w:pPr>
        <w:pStyle w:val="Lijstalinea"/>
        <w:numPr>
          <w:ilvl w:val="0"/>
          <w:numId w:val="2"/>
        </w:numPr>
        <w:spacing w:before="40" w:after="80" w:line="276" w:lineRule="auto"/>
        <w:rPr>
          <w:lang w:val="en-US"/>
        </w:rPr>
      </w:pPr>
      <w:r w:rsidRPr="00C56F40">
        <w:rPr>
          <w:color w:val="000000"/>
          <w:sz w:val="18"/>
          <w:szCs w:val="18"/>
          <w:lang w:val="en-US"/>
        </w:rPr>
        <w:t>Clark, K., Khandelwal, U., Levy, O., &amp; Manning, C. D. (2019). What does BERT look at? An analysis of BERT's attention. Proceedings of the 2019 ACL Workshop BlackboxNLP.</w:t>
      </w:r>
    </w:p>
    <w:p w14:paraId="3140EEA0"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Deleuze, G. (1994). Difference and repetition (P. Patton, Trans.). </w:t>
      </w:r>
      <w:r>
        <w:rPr>
          <w:color w:val="000000"/>
          <w:sz w:val="18"/>
          <w:szCs w:val="18"/>
        </w:rPr>
        <w:t>Columbia University Press.</w:t>
      </w:r>
    </w:p>
    <w:p w14:paraId="230F4492"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Dehaene, S. (2014). Consciousness and the brain: Deciphering how the brain codes our thoughts. </w:t>
      </w:r>
      <w:r>
        <w:rPr>
          <w:color w:val="000000"/>
          <w:sz w:val="18"/>
          <w:szCs w:val="18"/>
        </w:rPr>
        <w:t>Viking.</w:t>
      </w:r>
    </w:p>
    <w:p w14:paraId="1BC663B7" w14:textId="77777777" w:rsidR="00073E82" w:rsidRPr="00C56F40" w:rsidRDefault="00000000">
      <w:pPr>
        <w:pStyle w:val="Lijstalinea"/>
        <w:numPr>
          <w:ilvl w:val="0"/>
          <w:numId w:val="2"/>
        </w:numPr>
        <w:spacing w:before="40" w:after="80" w:line="276" w:lineRule="auto"/>
        <w:rPr>
          <w:lang w:val="en-US"/>
        </w:rPr>
      </w:pPr>
      <w:r w:rsidRPr="00C56F40">
        <w:rPr>
          <w:color w:val="000000"/>
          <w:sz w:val="18"/>
          <w:szCs w:val="18"/>
          <w:lang w:val="en-US"/>
        </w:rPr>
        <w:t>Devlin, J., Chang, M.-W., Lee, K., &amp; Toutanova, K. (2018). BERT: Pre-training of deep bidirectional transformers for language understanding. arXiv:1810.04805.</w:t>
      </w:r>
    </w:p>
    <w:p w14:paraId="24EC32AF"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Edelsbrunner, H., &amp; Harer, J. (2010). Computational topology: An introduction. </w:t>
      </w:r>
      <w:r>
        <w:rPr>
          <w:color w:val="000000"/>
          <w:sz w:val="18"/>
          <w:szCs w:val="18"/>
        </w:rPr>
        <w:t>American Mathematical Society.</w:t>
      </w:r>
    </w:p>
    <w:p w14:paraId="146116D4"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Elias, N. (1992). Time: An essay. </w:t>
      </w:r>
      <w:r>
        <w:rPr>
          <w:color w:val="000000"/>
          <w:sz w:val="18"/>
          <w:szCs w:val="18"/>
        </w:rPr>
        <w:t>Blackwell.</w:t>
      </w:r>
    </w:p>
    <w:p w14:paraId="6BB57FC8"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Fine, K. (2012). Guide to ground. </w:t>
      </w:r>
      <w:r>
        <w:rPr>
          <w:color w:val="000000"/>
          <w:sz w:val="18"/>
          <w:szCs w:val="18"/>
        </w:rPr>
        <w:t>Cambridge University Press.</w:t>
      </w:r>
    </w:p>
    <w:p w14:paraId="2CF40169" w14:textId="77777777" w:rsidR="00073E82" w:rsidRDefault="00000000">
      <w:pPr>
        <w:pStyle w:val="Lijstalinea"/>
        <w:numPr>
          <w:ilvl w:val="0"/>
          <w:numId w:val="2"/>
        </w:numPr>
        <w:spacing w:before="40" w:after="80" w:line="276" w:lineRule="auto"/>
      </w:pPr>
      <w:r>
        <w:rPr>
          <w:color w:val="000000"/>
          <w:sz w:val="18"/>
          <w:szCs w:val="18"/>
        </w:rPr>
        <w:t xml:space="preserve">Finn, C., Abbeel, P., &amp; Levine, S. (2018). </w:t>
      </w:r>
      <w:r w:rsidRPr="00C56F40">
        <w:rPr>
          <w:color w:val="000000"/>
          <w:sz w:val="18"/>
          <w:szCs w:val="18"/>
          <w:lang w:val="en-US"/>
        </w:rPr>
        <w:t xml:space="preserve">Model-agnostic meta-learning for fast adaptation of deep networks. Proceedings of the 34th International Conference on Machine Learning (pp. 1126-1135). </w:t>
      </w:r>
      <w:r>
        <w:rPr>
          <w:color w:val="000000"/>
          <w:sz w:val="18"/>
          <w:szCs w:val="18"/>
        </w:rPr>
        <w:t>PMLR.</w:t>
      </w:r>
    </w:p>
    <w:p w14:paraId="27E6E666"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Floridi, L. (2023). The ethics of artificial intelligence. </w:t>
      </w:r>
      <w:r>
        <w:rPr>
          <w:color w:val="000000"/>
          <w:sz w:val="18"/>
          <w:szCs w:val="18"/>
        </w:rPr>
        <w:t>Oxford University Press.</w:t>
      </w:r>
    </w:p>
    <w:p w14:paraId="602194F2" w14:textId="77777777" w:rsidR="00073E82" w:rsidRDefault="00000000">
      <w:pPr>
        <w:pStyle w:val="Lijstalinea"/>
        <w:numPr>
          <w:ilvl w:val="0"/>
          <w:numId w:val="2"/>
        </w:numPr>
        <w:spacing w:before="40" w:after="80" w:line="276" w:lineRule="auto"/>
      </w:pPr>
      <w:r>
        <w:rPr>
          <w:color w:val="000000"/>
          <w:sz w:val="18"/>
          <w:szCs w:val="18"/>
        </w:rPr>
        <w:t xml:space="preserve">Fong, B., &amp; Spivak, D. I. (2019). </w:t>
      </w:r>
      <w:r w:rsidRPr="00C56F40">
        <w:rPr>
          <w:color w:val="000000"/>
          <w:sz w:val="18"/>
          <w:szCs w:val="18"/>
          <w:lang w:val="en-US"/>
        </w:rPr>
        <w:t xml:space="preserve">Seven sketches in compositionality: An invitation to applied category theory. </w:t>
      </w:r>
      <w:r>
        <w:rPr>
          <w:color w:val="000000"/>
          <w:sz w:val="18"/>
          <w:szCs w:val="18"/>
        </w:rPr>
        <w:t>Cambridge University Press.</w:t>
      </w:r>
    </w:p>
    <w:p w14:paraId="035BE31B"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Frank, A., Grinspoon, D., &amp; Walker, S. (2022). Intelligence as a planetary scale process. </w:t>
      </w:r>
      <w:r>
        <w:rPr>
          <w:color w:val="000000"/>
          <w:sz w:val="18"/>
          <w:szCs w:val="18"/>
        </w:rPr>
        <w:t>International Journal of Astrobiology, 21(2), 47-61.</w:t>
      </w:r>
    </w:p>
    <w:p w14:paraId="77243874" w14:textId="77777777" w:rsidR="00073E82" w:rsidRDefault="00000000">
      <w:pPr>
        <w:pStyle w:val="Lijstalinea"/>
        <w:numPr>
          <w:ilvl w:val="0"/>
          <w:numId w:val="2"/>
        </w:numPr>
        <w:spacing w:before="40" w:after="80" w:line="276" w:lineRule="auto"/>
      </w:pPr>
      <w:r w:rsidRPr="00C56F40">
        <w:rPr>
          <w:color w:val="000000"/>
          <w:sz w:val="18"/>
          <w:szCs w:val="18"/>
          <w:lang w:val="en-US"/>
        </w:rPr>
        <w:lastRenderedPageBreak/>
        <w:t xml:space="preserve">Fricker, M. (2007). Epistemic injustice: Power and the ethics of knowing. </w:t>
      </w:r>
      <w:r>
        <w:rPr>
          <w:color w:val="000000"/>
          <w:sz w:val="18"/>
          <w:szCs w:val="18"/>
        </w:rPr>
        <w:t>Oxford University Press.</w:t>
      </w:r>
    </w:p>
    <w:p w14:paraId="4396BC71"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Gallagher, S. (2020). Action and interaction. </w:t>
      </w:r>
      <w:r>
        <w:rPr>
          <w:color w:val="000000"/>
          <w:sz w:val="18"/>
          <w:szCs w:val="18"/>
        </w:rPr>
        <w:t>Oxford University Press.</w:t>
      </w:r>
    </w:p>
    <w:p w14:paraId="08C81019"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Gärdenfors, P. (2000). Conceptual spaces: The geometry of thought. </w:t>
      </w:r>
      <w:r>
        <w:rPr>
          <w:color w:val="000000"/>
          <w:sz w:val="18"/>
          <w:szCs w:val="18"/>
        </w:rPr>
        <w:t>MIT Press.</w:t>
      </w:r>
    </w:p>
    <w:p w14:paraId="7E1E48C6"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Garnelo, M., Schwarz, J., Rosenbaum, D., Viola, F., Rezende, D. J., Eslami, S. M. A., &amp; Teh, Y. W. (2018). </w:t>
      </w:r>
      <w:r>
        <w:rPr>
          <w:color w:val="000000"/>
          <w:sz w:val="18"/>
          <w:szCs w:val="18"/>
        </w:rPr>
        <w:t>Neural processes. arXiv:1807.01622.</w:t>
      </w:r>
    </w:p>
    <w:p w14:paraId="6ADACEE2"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Gilmer, J., Schütt, K. T., Gastegger, M., Schütt, K. T., Müller, K.-R., &amp; Alber, G. (2017). Neural message passing for quantum chemistry. Proceedings of the 34th International Conference on Machine Learning (pp. 1263-1272). </w:t>
      </w:r>
      <w:r>
        <w:rPr>
          <w:color w:val="000000"/>
          <w:sz w:val="18"/>
          <w:szCs w:val="18"/>
        </w:rPr>
        <w:t>PMLR.</w:t>
      </w:r>
    </w:p>
    <w:p w14:paraId="673FB726"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Gödel, K. (1986). On formally undecidable propositions of Principia Mathematica and related systems (original work published 1931). </w:t>
      </w:r>
      <w:r>
        <w:rPr>
          <w:color w:val="000000"/>
          <w:sz w:val="18"/>
          <w:szCs w:val="18"/>
        </w:rPr>
        <w:t>Dover.</w:t>
      </w:r>
    </w:p>
    <w:p w14:paraId="1262212C" w14:textId="77777777" w:rsidR="00073E82" w:rsidRPr="00C56F40" w:rsidRDefault="00000000">
      <w:pPr>
        <w:pStyle w:val="Lijstalinea"/>
        <w:numPr>
          <w:ilvl w:val="0"/>
          <w:numId w:val="2"/>
        </w:numPr>
        <w:spacing w:before="40" w:after="80" w:line="276" w:lineRule="auto"/>
        <w:rPr>
          <w:lang w:val="en-US"/>
        </w:rPr>
      </w:pPr>
      <w:r w:rsidRPr="00C56F40">
        <w:rPr>
          <w:color w:val="000000"/>
          <w:sz w:val="18"/>
          <w:szCs w:val="18"/>
          <w:lang w:val="en-US"/>
        </w:rPr>
        <w:t>Goodfellow, I., Pouget-Abadie, J., Mirza, M., Xu, B., Warde-Farley, D., Ozair, S., ... &amp; Bengio, Y. (2014). Generative adversarial nets. Advances in Neural Information Processing Systems, 27.</w:t>
      </w:r>
    </w:p>
    <w:p w14:paraId="599F4BD5"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Goodfellow, I., Shlens, J., &amp; Szegedy, C. (2015). Explaining and harnessing adversarial examples. </w:t>
      </w:r>
      <w:r>
        <w:rPr>
          <w:color w:val="000000"/>
          <w:sz w:val="18"/>
          <w:szCs w:val="18"/>
        </w:rPr>
        <w:t>Proceedings of ICLR 2015.</w:t>
      </w:r>
    </w:p>
    <w:p w14:paraId="4F2D02B8"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Graves, A., Wayne, G., Reynolds, M., Harley, T., Danihelka, I., Grabska-Barwińska, A., ... &amp; Hassabis, D. (2016). Hybrid computing using a neural network with dynamic external memory. </w:t>
      </w:r>
      <w:r>
        <w:rPr>
          <w:color w:val="000000"/>
          <w:sz w:val="18"/>
          <w:szCs w:val="18"/>
        </w:rPr>
        <w:t>Nature, 538(7626), 471-476.</w:t>
      </w:r>
    </w:p>
    <w:p w14:paraId="0CCE2C9B"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Harley, J. B. (1989). Deconstructing the map. </w:t>
      </w:r>
      <w:r>
        <w:rPr>
          <w:color w:val="000000"/>
          <w:sz w:val="18"/>
          <w:szCs w:val="18"/>
        </w:rPr>
        <w:t>Cartographica, 26(2), 1-20.</w:t>
      </w:r>
    </w:p>
    <w:p w14:paraId="5C91EF07"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Hegel, G. W. F. (1977). Phenomenology of spirit (A. V. Miller, Trans.). </w:t>
      </w:r>
      <w:r>
        <w:rPr>
          <w:color w:val="000000"/>
          <w:sz w:val="18"/>
          <w:szCs w:val="18"/>
        </w:rPr>
        <w:t>Oxford University Press. (Original work published 1807).</w:t>
      </w:r>
    </w:p>
    <w:p w14:paraId="658BCCA3" w14:textId="77777777" w:rsidR="00073E82" w:rsidRDefault="00000000">
      <w:pPr>
        <w:pStyle w:val="Lijstalinea"/>
        <w:numPr>
          <w:ilvl w:val="0"/>
          <w:numId w:val="2"/>
        </w:numPr>
        <w:spacing w:before="40" w:after="80" w:line="276" w:lineRule="auto"/>
      </w:pPr>
      <w:r>
        <w:rPr>
          <w:color w:val="000000"/>
          <w:sz w:val="18"/>
          <w:szCs w:val="18"/>
        </w:rPr>
        <w:t>Heisenberg, W. (1927). Über den anschaulichen Inhalt der quantentheoretischen Kinematik und Mechanik. Zeitschrift für Physik, 43, 172-198.</w:t>
      </w:r>
    </w:p>
    <w:p w14:paraId="3F367509" w14:textId="77777777" w:rsidR="00073E82" w:rsidRDefault="00000000">
      <w:pPr>
        <w:pStyle w:val="Lijstalinea"/>
        <w:numPr>
          <w:ilvl w:val="0"/>
          <w:numId w:val="2"/>
        </w:numPr>
        <w:spacing w:before="40" w:after="80" w:line="276" w:lineRule="auto"/>
      </w:pPr>
      <w:r>
        <w:rPr>
          <w:color w:val="000000"/>
          <w:sz w:val="18"/>
          <w:szCs w:val="18"/>
        </w:rPr>
        <w:t xml:space="preserve">Hensel, F., Moor, M., &amp; Rieck, B. (2021). </w:t>
      </w:r>
      <w:r w:rsidRPr="00C56F40">
        <w:rPr>
          <w:color w:val="000000"/>
          <w:sz w:val="18"/>
          <w:szCs w:val="18"/>
          <w:lang w:val="en-US"/>
        </w:rPr>
        <w:t xml:space="preserve">A survey of topological machine learning methods. </w:t>
      </w:r>
      <w:r>
        <w:rPr>
          <w:color w:val="000000"/>
          <w:sz w:val="18"/>
          <w:szCs w:val="18"/>
        </w:rPr>
        <w:t>Frontiers in Artificial Intelligence, 4.</w:t>
      </w:r>
    </w:p>
    <w:p w14:paraId="2734C2B9"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Hochreiter, S., &amp; Schmidhuber, J. (1997). Long short-term memory. </w:t>
      </w:r>
      <w:r>
        <w:rPr>
          <w:color w:val="000000"/>
          <w:sz w:val="18"/>
          <w:szCs w:val="18"/>
        </w:rPr>
        <w:t>Neural Computation, 9(8), 1735-1780.</w:t>
      </w:r>
    </w:p>
    <w:p w14:paraId="2E1EEEA0"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Holland, J. H. (1995). Hidden order: How adaptation builds complexity. </w:t>
      </w:r>
      <w:r>
        <w:rPr>
          <w:color w:val="000000"/>
          <w:sz w:val="18"/>
          <w:szCs w:val="18"/>
        </w:rPr>
        <w:t>Addison-Wesley.</w:t>
      </w:r>
    </w:p>
    <w:p w14:paraId="73B54B89"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Hutchins, E. (1995). Cognition in the wild. </w:t>
      </w:r>
      <w:r>
        <w:rPr>
          <w:color w:val="000000"/>
          <w:sz w:val="18"/>
          <w:szCs w:val="18"/>
        </w:rPr>
        <w:t>MIT Press.</w:t>
      </w:r>
    </w:p>
    <w:p w14:paraId="0D1FB7B1"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Kauffman, S. (1995). At home in the universe: The search for laws of self-organization and complexity. </w:t>
      </w:r>
      <w:r>
        <w:rPr>
          <w:color w:val="000000"/>
          <w:sz w:val="18"/>
          <w:szCs w:val="18"/>
        </w:rPr>
        <w:t>Oxford University Press.</w:t>
      </w:r>
    </w:p>
    <w:p w14:paraId="14D6AA97"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Kelly, G. M. (1982). Basic concepts of enriched category theory. </w:t>
      </w:r>
      <w:r>
        <w:rPr>
          <w:color w:val="000000"/>
          <w:sz w:val="18"/>
          <w:szCs w:val="18"/>
        </w:rPr>
        <w:t>Cambridge University Press.</w:t>
      </w:r>
    </w:p>
    <w:p w14:paraId="0A5B198F" w14:textId="77777777" w:rsidR="00073E82" w:rsidRPr="00C56F40" w:rsidRDefault="00000000">
      <w:pPr>
        <w:pStyle w:val="Lijstalinea"/>
        <w:numPr>
          <w:ilvl w:val="0"/>
          <w:numId w:val="2"/>
        </w:numPr>
        <w:spacing w:before="40" w:after="80" w:line="276" w:lineRule="auto"/>
        <w:rPr>
          <w:lang w:val="en-US"/>
        </w:rPr>
      </w:pPr>
      <w:r w:rsidRPr="00C56F40">
        <w:rPr>
          <w:color w:val="000000"/>
          <w:sz w:val="18"/>
          <w:szCs w:val="18"/>
          <w:lang w:val="en-US"/>
        </w:rPr>
        <w:t>Kingma, D. P., &amp; Welling, M. (2013). Auto-encoding variational Bayes. arXiv:1312.6114.</w:t>
      </w:r>
    </w:p>
    <w:p w14:paraId="63F026FD"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Kipf, T. N., &amp; Welling, M. (2017). Semi-supervised classification with graph convolutional networks. </w:t>
      </w:r>
      <w:r>
        <w:rPr>
          <w:color w:val="000000"/>
          <w:sz w:val="18"/>
          <w:szCs w:val="18"/>
        </w:rPr>
        <w:t>Proceedings of ICLR 2017.</w:t>
      </w:r>
    </w:p>
    <w:p w14:paraId="0F149FEA"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Kirkpatrick, S., Gelatt, C. D., &amp; Vecchi, M. P. (1983). Optimization by simulated annealing. </w:t>
      </w:r>
      <w:r>
        <w:rPr>
          <w:color w:val="000000"/>
          <w:sz w:val="18"/>
          <w:szCs w:val="18"/>
        </w:rPr>
        <w:t>Science, 220(4598), 671-680.</w:t>
      </w:r>
    </w:p>
    <w:p w14:paraId="25478BFB"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Kuhn, T. S. (1962). The structure of scientific revolutions. </w:t>
      </w:r>
      <w:r>
        <w:rPr>
          <w:color w:val="000000"/>
          <w:sz w:val="18"/>
          <w:szCs w:val="18"/>
        </w:rPr>
        <w:t>University of Chicago Press.</w:t>
      </w:r>
    </w:p>
    <w:p w14:paraId="44D1E9F6"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LeCun, Y., Bengio, Y., &amp; Hinton, G. (2015). </w:t>
      </w:r>
      <w:r>
        <w:rPr>
          <w:color w:val="000000"/>
          <w:sz w:val="18"/>
          <w:szCs w:val="18"/>
        </w:rPr>
        <w:t>Deep learning. Nature, 521(7553), 436-444.</w:t>
      </w:r>
    </w:p>
    <w:p w14:paraId="44094AAC"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Leibniz, G. W. (1996). Philosophical papers and letters (L. E. Loemker, Ed. </w:t>
      </w:r>
      <w:r>
        <w:rPr>
          <w:color w:val="000000"/>
          <w:sz w:val="18"/>
          <w:szCs w:val="18"/>
        </w:rPr>
        <w:t>&amp; Trans., 2nd ed.). Springer. (Original work published 1701).</w:t>
      </w:r>
    </w:p>
    <w:p w14:paraId="33828D30"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Li, M., &amp; Vitányi, P. (2008). An introduction to Kolmogorov complexity and its applications (3rd ed.). </w:t>
      </w:r>
      <w:r>
        <w:rPr>
          <w:color w:val="000000"/>
          <w:sz w:val="18"/>
          <w:szCs w:val="18"/>
        </w:rPr>
        <w:t>Springer.</w:t>
      </w:r>
    </w:p>
    <w:p w14:paraId="326F4913"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Lipton, Z. C. (2018). The mythos of model interpretability. </w:t>
      </w:r>
      <w:r>
        <w:rPr>
          <w:color w:val="000000"/>
          <w:sz w:val="18"/>
          <w:szCs w:val="18"/>
        </w:rPr>
        <w:t>ACM Queue, 16(3), 31-57.</w:t>
      </w:r>
    </w:p>
    <w:p w14:paraId="7253212F"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Locatello, F., Bauer, S., Lucic, M., Raetsch, G., Gelly, S., Schölkopf, B., &amp; Bachem, O. (2019). Challenging common assumptions in the unsupervised learning of disentangled representations. Proceedings of the 36th International Conference on Machine Learning (pp. 4114-4124). </w:t>
      </w:r>
      <w:r>
        <w:rPr>
          <w:color w:val="000000"/>
          <w:sz w:val="18"/>
          <w:szCs w:val="18"/>
        </w:rPr>
        <w:t>PMLR.</w:t>
      </w:r>
    </w:p>
    <w:p w14:paraId="7A2D0C9F"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Mac Lane, S. (1971). Categories for the working mathematician. </w:t>
      </w:r>
      <w:r>
        <w:rPr>
          <w:color w:val="000000"/>
          <w:sz w:val="18"/>
          <w:szCs w:val="18"/>
        </w:rPr>
        <w:t>Springer.</w:t>
      </w:r>
    </w:p>
    <w:p w14:paraId="2D4A160A" w14:textId="77777777" w:rsidR="00073E82" w:rsidRPr="00C56F40" w:rsidRDefault="00000000">
      <w:pPr>
        <w:pStyle w:val="Lijstalinea"/>
        <w:numPr>
          <w:ilvl w:val="0"/>
          <w:numId w:val="2"/>
        </w:numPr>
        <w:spacing w:before="40" w:after="80" w:line="276" w:lineRule="auto"/>
        <w:rPr>
          <w:lang w:val="en-US"/>
        </w:rPr>
      </w:pPr>
      <w:r w:rsidRPr="00C56F40">
        <w:rPr>
          <w:color w:val="000000"/>
          <w:sz w:val="18"/>
          <w:szCs w:val="18"/>
          <w:lang w:val="en-US"/>
        </w:rPr>
        <w:t>Massimi, M. (2022). Perspectival realism. Oxford University Press.</w:t>
      </w:r>
    </w:p>
    <w:p w14:paraId="0E3C553A" w14:textId="77777777" w:rsidR="00073E82" w:rsidRDefault="00000000">
      <w:pPr>
        <w:pStyle w:val="Lijstalinea"/>
        <w:numPr>
          <w:ilvl w:val="0"/>
          <w:numId w:val="2"/>
        </w:numPr>
        <w:spacing w:before="40" w:after="80" w:line="276" w:lineRule="auto"/>
      </w:pPr>
      <w:r w:rsidRPr="00C56F40">
        <w:rPr>
          <w:color w:val="000000"/>
          <w:sz w:val="18"/>
          <w:szCs w:val="18"/>
          <w:lang w:val="en-US"/>
        </w:rPr>
        <w:lastRenderedPageBreak/>
        <w:t xml:space="preserve">Maturana, H., &amp; Varela, F. (1980). Autopoiesis and cognition: The realization of the living. </w:t>
      </w:r>
      <w:r>
        <w:rPr>
          <w:color w:val="000000"/>
          <w:sz w:val="18"/>
          <w:szCs w:val="18"/>
        </w:rPr>
        <w:t>D. Reidel.</w:t>
      </w:r>
    </w:p>
    <w:p w14:paraId="3B9E5282" w14:textId="77777777" w:rsidR="00073E82" w:rsidRPr="00C56F40" w:rsidRDefault="00000000">
      <w:pPr>
        <w:pStyle w:val="Lijstalinea"/>
        <w:numPr>
          <w:ilvl w:val="0"/>
          <w:numId w:val="2"/>
        </w:numPr>
        <w:spacing w:before="40" w:after="80" w:line="276" w:lineRule="auto"/>
        <w:rPr>
          <w:lang w:val="en-US"/>
        </w:rPr>
      </w:pPr>
      <w:r w:rsidRPr="00C56F40">
        <w:rPr>
          <w:color w:val="000000"/>
          <w:sz w:val="18"/>
          <w:szCs w:val="18"/>
          <w:lang w:val="en-US"/>
        </w:rPr>
        <w:t>Mikolov, T., Sutskever, I., Chen, K., Corrado, G., &amp; Dean, J. (2013). Distributed representations of words and phrases and their compositionality. Advances in Neural Information Processing Systems, 26.</w:t>
      </w:r>
    </w:p>
    <w:p w14:paraId="43D02728"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Mitchell, M. (2009). Complexity: A guided tour. </w:t>
      </w:r>
      <w:r>
        <w:rPr>
          <w:color w:val="000000"/>
          <w:sz w:val="18"/>
          <w:szCs w:val="18"/>
        </w:rPr>
        <w:t>Oxford University Press.</w:t>
      </w:r>
    </w:p>
    <w:p w14:paraId="237B12E2" w14:textId="77777777" w:rsidR="00073E82" w:rsidRPr="00C56F40" w:rsidRDefault="00000000">
      <w:pPr>
        <w:pStyle w:val="Lijstalinea"/>
        <w:numPr>
          <w:ilvl w:val="0"/>
          <w:numId w:val="2"/>
        </w:numPr>
        <w:spacing w:before="40" w:after="80" w:line="276" w:lineRule="auto"/>
        <w:rPr>
          <w:lang w:val="en-US"/>
        </w:rPr>
      </w:pPr>
      <w:r w:rsidRPr="00C56F40">
        <w:rPr>
          <w:color w:val="000000"/>
          <w:sz w:val="18"/>
          <w:szCs w:val="18"/>
          <w:lang w:val="en-US"/>
        </w:rPr>
        <w:t>Mitchell, S., Potash, E., Barocas, S., D'Amour, A., &amp; Lum, K. (2021). Algorithmic fairness: Choices, assumptions, and definitions. Annual Review of Statistics and Its Application, 8, 141-163.</w:t>
      </w:r>
    </w:p>
    <w:p w14:paraId="43902A6A"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Nagel, T. (1974). What is it like to be a bat? </w:t>
      </w:r>
      <w:r>
        <w:rPr>
          <w:color w:val="000000"/>
          <w:sz w:val="18"/>
          <w:szCs w:val="18"/>
        </w:rPr>
        <w:t>The Philosophical Review, 83(4), 435-450.</w:t>
      </w:r>
    </w:p>
    <w:p w14:paraId="0CB7F4D6"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Nguyen, A., et al. (2023). Cultural biases in large language models: A survey. </w:t>
      </w:r>
      <w:r>
        <w:rPr>
          <w:color w:val="000000"/>
          <w:sz w:val="18"/>
          <w:szCs w:val="18"/>
        </w:rPr>
        <w:t>Proceedings of the 61st Annual Meeting of the ACL.</w:t>
      </w:r>
    </w:p>
    <w:p w14:paraId="08385E6F"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Ostrom, E. (2010). Polycentric systems for coping with collective action and global environmental change. </w:t>
      </w:r>
      <w:r>
        <w:rPr>
          <w:color w:val="000000"/>
          <w:sz w:val="18"/>
          <w:szCs w:val="18"/>
        </w:rPr>
        <w:t>Global Environmental Change, 20(4), 550-557.</w:t>
      </w:r>
    </w:p>
    <w:p w14:paraId="758B6DA3"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Quine, W. V. O. (1969). Ontological relativity and other essays. </w:t>
      </w:r>
      <w:r>
        <w:rPr>
          <w:color w:val="000000"/>
          <w:sz w:val="18"/>
          <w:szCs w:val="18"/>
        </w:rPr>
        <w:t>Columbia University Press.</w:t>
      </w:r>
    </w:p>
    <w:p w14:paraId="00F9F197"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Ravasz, E., Somera, A. L., Mongru, D. A., Oltvai, Z. N., &amp; Barabási, A.-L. (2002). </w:t>
      </w:r>
      <w:r>
        <w:rPr>
          <w:color w:val="000000"/>
          <w:sz w:val="18"/>
          <w:szCs w:val="18"/>
        </w:rPr>
        <w:t>Hierarchical organization of modularity in metabolic networks. Science, 297(5586), 1551-1555.</w:t>
      </w:r>
    </w:p>
    <w:p w14:paraId="0FB5EC93" w14:textId="77777777" w:rsidR="00073E82" w:rsidRDefault="00000000">
      <w:pPr>
        <w:pStyle w:val="Lijstalinea"/>
        <w:numPr>
          <w:ilvl w:val="0"/>
          <w:numId w:val="2"/>
        </w:numPr>
        <w:spacing w:before="40" w:after="80" w:line="276" w:lineRule="auto"/>
      </w:pPr>
      <w:r>
        <w:rPr>
          <w:color w:val="000000"/>
          <w:sz w:val="18"/>
          <w:szCs w:val="18"/>
        </w:rPr>
        <w:t>Rechenberg, I. (1973). Evolutionsstrategie: Optimierung technischer Systeme nach Prinzipien der biologischen Evolution. Frommann-Holzboog.</w:t>
      </w:r>
    </w:p>
    <w:p w14:paraId="51417827" w14:textId="77777777" w:rsidR="00073E82" w:rsidRPr="00C56F40" w:rsidRDefault="00000000">
      <w:pPr>
        <w:pStyle w:val="Lijstalinea"/>
        <w:numPr>
          <w:ilvl w:val="0"/>
          <w:numId w:val="2"/>
        </w:numPr>
        <w:spacing w:before="40" w:after="80" w:line="276" w:lineRule="auto"/>
        <w:rPr>
          <w:lang w:val="en-US"/>
        </w:rPr>
      </w:pPr>
      <w:r w:rsidRPr="00C56F40">
        <w:rPr>
          <w:color w:val="000000"/>
          <w:sz w:val="18"/>
          <w:szCs w:val="18"/>
          <w:lang w:val="en-US"/>
        </w:rPr>
        <w:t>Rovelli, C. (1996). Relational quantum mechanics. International Journal of Theoretical Physics, 35(8), 1637-1678.</w:t>
      </w:r>
    </w:p>
    <w:p w14:paraId="57AB50B6"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Russell, S. (2019). Human compatible: Artificial intelligence and the problem of control. </w:t>
      </w:r>
      <w:r>
        <w:rPr>
          <w:color w:val="000000"/>
          <w:sz w:val="18"/>
          <w:szCs w:val="18"/>
        </w:rPr>
        <w:t>Viking.</w:t>
      </w:r>
    </w:p>
    <w:p w14:paraId="624444DC"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Santos, J. R., &amp; Frank, A. (2025). Formal conditions for sustainability thresholds in human-ecological-AI feedback systems. </w:t>
      </w:r>
      <w:r>
        <w:rPr>
          <w:color w:val="000000"/>
          <w:sz w:val="18"/>
          <w:szCs w:val="18"/>
        </w:rPr>
        <w:t>Nature Machine Intelligence, 7(1), 12-24.</w:t>
      </w:r>
    </w:p>
    <w:p w14:paraId="70129797"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Schaffer, J. (2010). On what grounds what. </w:t>
      </w:r>
      <w:r>
        <w:rPr>
          <w:color w:val="000000"/>
          <w:sz w:val="18"/>
          <w:szCs w:val="18"/>
        </w:rPr>
        <w:t>Oxford University Press.</w:t>
      </w:r>
    </w:p>
    <w:p w14:paraId="144E7CBC" w14:textId="77777777" w:rsidR="00073E82" w:rsidRDefault="00000000">
      <w:pPr>
        <w:pStyle w:val="Lijstalinea"/>
        <w:numPr>
          <w:ilvl w:val="0"/>
          <w:numId w:val="2"/>
        </w:numPr>
        <w:spacing w:before="40" w:after="80" w:line="276" w:lineRule="auto"/>
      </w:pPr>
      <w:r>
        <w:rPr>
          <w:color w:val="000000"/>
          <w:sz w:val="18"/>
          <w:szCs w:val="18"/>
        </w:rPr>
        <w:t>Scheffer, M., Bascompte, J., Brock, W. A., Brovkin, V., Carpenter, S. R., Dakos, V., ... &amp; Sugihara, G. (2009). Early-warning signals for critical transitions. Nature, 461(7260), 53-59.</w:t>
      </w:r>
    </w:p>
    <w:p w14:paraId="2213FBF6"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Schreiber, T. (2000). Measuring information transfer. </w:t>
      </w:r>
      <w:r>
        <w:rPr>
          <w:color w:val="000000"/>
          <w:sz w:val="18"/>
          <w:szCs w:val="18"/>
        </w:rPr>
        <w:t>Physical Review Letters, 85(2), 461-464.</w:t>
      </w:r>
    </w:p>
    <w:p w14:paraId="73B5C0AA"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Shannon, C. E. (1948). A mathematical theory of communication. </w:t>
      </w:r>
      <w:r>
        <w:rPr>
          <w:color w:val="000000"/>
          <w:sz w:val="18"/>
          <w:szCs w:val="18"/>
        </w:rPr>
        <w:t>Bell System Technical Journal, 27(3), 379-423.</w:t>
      </w:r>
    </w:p>
    <w:p w14:paraId="1EAD31B8" w14:textId="77777777" w:rsidR="00073E82" w:rsidRPr="00C56F40" w:rsidRDefault="00000000">
      <w:pPr>
        <w:pStyle w:val="Lijstalinea"/>
        <w:numPr>
          <w:ilvl w:val="0"/>
          <w:numId w:val="2"/>
        </w:numPr>
        <w:spacing w:before="40" w:after="80" w:line="276" w:lineRule="auto"/>
        <w:rPr>
          <w:lang w:val="en-US"/>
        </w:rPr>
      </w:pPr>
      <w:r w:rsidRPr="00C56F40">
        <w:rPr>
          <w:color w:val="000000"/>
          <w:sz w:val="18"/>
          <w:szCs w:val="18"/>
          <w:lang w:val="en-US"/>
        </w:rPr>
        <w:t>Simon, H. A. (1962). The architecture of complexity. Proceedings of the American Philosophical Society, 106(6), 467-482.</w:t>
      </w:r>
    </w:p>
    <w:p w14:paraId="75593256"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Sporns, O., &amp; Kötter, R. (2004). Motifs in brain networks. </w:t>
      </w:r>
      <w:r>
        <w:rPr>
          <w:color w:val="000000"/>
          <w:sz w:val="18"/>
          <w:szCs w:val="18"/>
        </w:rPr>
        <w:t>PLOS Biology, 2(11), e369.</w:t>
      </w:r>
    </w:p>
    <w:p w14:paraId="79ED0CEB"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Strogatz, S. H. (2015). Nonlinear dynamics and chaos (2nd ed.). </w:t>
      </w:r>
      <w:r>
        <w:rPr>
          <w:color w:val="000000"/>
          <w:sz w:val="18"/>
          <w:szCs w:val="18"/>
        </w:rPr>
        <w:t>Westview Press.</w:t>
      </w:r>
    </w:p>
    <w:p w14:paraId="161580FE" w14:textId="77777777" w:rsidR="00073E82" w:rsidRPr="00C56F40" w:rsidRDefault="00000000">
      <w:pPr>
        <w:pStyle w:val="Lijstalinea"/>
        <w:numPr>
          <w:ilvl w:val="0"/>
          <w:numId w:val="2"/>
        </w:numPr>
        <w:spacing w:before="40" w:after="80" w:line="276" w:lineRule="auto"/>
        <w:rPr>
          <w:lang w:val="en-US"/>
        </w:rPr>
      </w:pPr>
      <w:r w:rsidRPr="00C56F40">
        <w:rPr>
          <w:color w:val="000000"/>
          <w:sz w:val="18"/>
          <w:szCs w:val="18"/>
          <w:lang w:val="en-US"/>
        </w:rPr>
        <w:t>Tegmark, M. (2003). Parallel universes. Scientific American, 288(5), 40-51.</w:t>
      </w:r>
    </w:p>
    <w:p w14:paraId="52026039"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Tegmark, M. (2014). Our mathematical universe. </w:t>
      </w:r>
      <w:r>
        <w:rPr>
          <w:color w:val="000000"/>
          <w:sz w:val="18"/>
          <w:szCs w:val="18"/>
        </w:rPr>
        <w:t>Knopf.</w:t>
      </w:r>
    </w:p>
    <w:p w14:paraId="40323D47" w14:textId="77777777" w:rsidR="00073E82" w:rsidRPr="00C56F40" w:rsidRDefault="00000000">
      <w:pPr>
        <w:pStyle w:val="Lijstalinea"/>
        <w:numPr>
          <w:ilvl w:val="0"/>
          <w:numId w:val="2"/>
        </w:numPr>
        <w:spacing w:before="40" w:after="80" w:line="276" w:lineRule="auto"/>
        <w:rPr>
          <w:lang w:val="en-US"/>
        </w:rPr>
      </w:pPr>
      <w:r w:rsidRPr="00C56F40">
        <w:rPr>
          <w:color w:val="000000"/>
          <w:sz w:val="18"/>
          <w:szCs w:val="18"/>
          <w:lang w:val="en-US"/>
        </w:rPr>
        <w:t>Teilhard de Chardin, P. (2004). The phenomenon of man. Harper Perennial. (Original work published 1955).</w:t>
      </w:r>
    </w:p>
    <w:p w14:paraId="6265AD13"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Tononi, G. (2008). Consciousness as integrated information: A provisional manifesto. </w:t>
      </w:r>
      <w:r>
        <w:rPr>
          <w:color w:val="000000"/>
          <w:sz w:val="18"/>
          <w:szCs w:val="18"/>
        </w:rPr>
        <w:t>Biological Bulletin, 215(3), 216-242.</w:t>
      </w:r>
    </w:p>
    <w:p w14:paraId="71AD9B66"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Vaswani, A., Shazeer, N., Parmar, N., Uszkoreit, J., Jones, L., Gomez, A. N., ... &amp; Polosukhin, I. (2017). Attention is all you need. </w:t>
      </w:r>
      <w:r>
        <w:rPr>
          <w:color w:val="000000"/>
          <w:sz w:val="18"/>
          <w:szCs w:val="18"/>
        </w:rPr>
        <w:t>Advances in Neural Information Processing Systems, 30.</w:t>
      </w:r>
    </w:p>
    <w:p w14:paraId="2C2F8EAB"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Wang, J., Kurth-Nelson, Z., Kumaran, D., Tirumala, D., Soyer, H., Leibo, J. Z., ... &amp; Botvinick, M. (2019). Prefrontal cortex as a meta-reinforcement learning system. </w:t>
      </w:r>
      <w:r>
        <w:rPr>
          <w:color w:val="000000"/>
          <w:sz w:val="18"/>
          <w:szCs w:val="18"/>
        </w:rPr>
        <w:t>Nature Neuroscience, 21(6), 860-868.</w:t>
      </w:r>
    </w:p>
    <w:p w14:paraId="3780FE47" w14:textId="77777777" w:rsidR="00073E82" w:rsidRPr="00C56F40" w:rsidRDefault="00000000">
      <w:pPr>
        <w:pStyle w:val="Lijstalinea"/>
        <w:numPr>
          <w:ilvl w:val="0"/>
          <w:numId w:val="2"/>
        </w:numPr>
        <w:spacing w:before="40" w:after="80" w:line="276" w:lineRule="auto"/>
        <w:rPr>
          <w:lang w:val="en-US"/>
        </w:rPr>
      </w:pPr>
      <w:r w:rsidRPr="00C56F40">
        <w:rPr>
          <w:color w:val="000000"/>
          <w:sz w:val="18"/>
          <w:szCs w:val="18"/>
          <w:lang w:val="en-US"/>
        </w:rPr>
        <w:t>Wei, J., Tay, Y., Bommasani, R., Raffel, C., Zoph, B., Borgeaud, S., ... &amp; Fedus, W. (2022). Emergent abilities of large language models. Transactions on Machine Learning Research.</w:t>
      </w:r>
    </w:p>
    <w:p w14:paraId="6AA7C08F" w14:textId="77777777" w:rsidR="00073E82" w:rsidRDefault="00000000">
      <w:pPr>
        <w:pStyle w:val="Lijstalinea"/>
        <w:numPr>
          <w:ilvl w:val="0"/>
          <w:numId w:val="2"/>
        </w:numPr>
        <w:spacing w:before="40" w:after="80" w:line="276" w:lineRule="auto"/>
      </w:pPr>
      <w:r w:rsidRPr="00C56F40">
        <w:rPr>
          <w:color w:val="000000"/>
          <w:sz w:val="18"/>
          <w:szCs w:val="18"/>
          <w:lang w:val="en-US"/>
        </w:rPr>
        <w:t xml:space="preserve">Wiener, N. (1948). Cybernetics: Or control and communication in the animal and the machine. </w:t>
      </w:r>
      <w:r>
        <w:rPr>
          <w:color w:val="000000"/>
          <w:sz w:val="18"/>
          <w:szCs w:val="18"/>
        </w:rPr>
        <w:t>MIT Press.</w:t>
      </w:r>
    </w:p>
    <w:p w14:paraId="409314D3" w14:textId="77777777" w:rsidR="00073E82" w:rsidRDefault="00000000">
      <w:pPr>
        <w:pStyle w:val="Lijstalinea"/>
        <w:numPr>
          <w:ilvl w:val="0"/>
          <w:numId w:val="2"/>
        </w:numPr>
        <w:spacing w:before="40" w:after="80" w:line="276" w:lineRule="auto"/>
      </w:pPr>
      <w:r>
        <w:rPr>
          <w:color w:val="000000"/>
          <w:sz w:val="18"/>
          <w:szCs w:val="18"/>
        </w:rPr>
        <w:t xml:space="preserve">Xu, K., Hu, W., Leskovec, J., &amp; Jegelka, S. (2019). </w:t>
      </w:r>
      <w:r w:rsidRPr="00C56F40">
        <w:rPr>
          <w:color w:val="000000"/>
          <w:sz w:val="18"/>
          <w:szCs w:val="18"/>
          <w:lang w:val="en-US"/>
        </w:rPr>
        <w:t xml:space="preserve">How powerful are graph neural networks? </w:t>
      </w:r>
      <w:r>
        <w:rPr>
          <w:color w:val="000000"/>
          <w:sz w:val="18"/>
          <w:szCs w:val="18"/>
        </w:rPr>
        <w:t>Proceedings of ICLR 2019.</w:t>
      </w:r>
    </w:p>
    <w:sectPr w:rsidR="00073E82">
      <w:headerReference w:type="default" r:id="rId7"/>
      <w:footerReference w:type="default" r:id="rId8"/>
      <w:pgSz w:w="11906" w:h="16838"/>
      <w:pgMar w:top="1701" w:right="1276" w:bottom="1701" w:left="1276"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9C8E9" w14:textId="77777777" w:rsidR="004A231F" w:rsidRDefault="004A231F">
      <w:r>
        <w:separator/>
      </w:r>
    </w:p>
  </w:endnote>
  <w:endnote w:type="continuationSeparator" w:id="0">
    <w:p w14:paraId="0B939E95" w14:textId="77777777" w:rsidR="004A231F" w:rsidRDefault="004A23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8A456" w14:textId="77777777" w:rsidR="00073E82" w:rsidRDefault="00000000">
    <w:pPr>
      <w:pBdr>
        <w:top w:val="single" w:sz="4" w:space="4" w:color="555555"/>
      </w:pBdr>
      <w:spacing w:before="80"/>
      <w:jc w:val="center"/>
    </w:pPr>
    <w:r>
      <w:fldChar w:fldCharType="begin"/>
    </w:r>
    <w:r>
      <w:instrText>PAGE</w:instrText>
    </w:r>
    <w:r>
      <w:fldChar w:fldCharType="separate"/>
    </w:r>
    <w:r w:rsidR="00476B9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76240" w14:textId="77777777" w:rsidR="004A231F" w:rsidRDefault="004A231F">
      <w:r>
        <w:separator/>
      </w:r>
    </w:p>
  </w:footnote>
  <w:footnote w:type="continuationSeparator" w:id="0">
    <w:p w14:paraId="4E74019F" w14:textId="77777777" w:rsidR="004A231F" w:rsidRDefault="004A23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CB9C2" w14:textId="77777777" w:rsidR="00073E82" w:rsidRPr="00C56F40" w:rsidRDefault="00000000">
    <w:pPr>
      <w:pBdr>
        <w:bottom w:val="single" w:sz="4" w:space="4" w:color="555555"/>
      </w:pBdr>
      <w:jc w:val="center"/>
      <w:rPr>
        <w:lang w:val="en-US"/>
      </w:rPr>
    </w:pPr>
    <w:r w:rsidRPr="00C56F40">
      <w:rPr>
        <w:color w:val="444444"/>
        <w:sz w:val="16"/>
        <w:szCs w:val="16"/>
        <w:lang w:val="en-US"/>
      </w:rPr>
      <w:t>Layered Intelligence Beyond Human Epistemology: A Seventeen-Tier Framework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146C4"/>
    <w:multiLevelType w:val="hybridMultilevel"/>
    <w:tmpl w:val="1F927BE6"/>
    <w:lvl w:ilvl="0" w:tplc="B5FE6D34">
      <w:start w:val="1"/>
      <w:numFmt w:val="bullet"/>
      <w:lvlText w:val="●"/>
      <w:lvlJc w:val="left"/>
      <w:pPr>
        <w:ind w:left="720" w:hanging="360"/>
      </w:pPr>
    </w:lvl>
    <w:lvl w:ilvl="1" w:tplc="E226911A">
      <w:start w:val="1"/>
      <w:numFmt w:val="bullet"/>
      <w:lvlText w:val="○"/>
      <w:lvlJc w:val="left"/>
      <w:pPr>
        <w:ind w:left="1440" w:hanging="360"/>
      </w:pPr>
    </w:lvl>
    <w:lvl w:ilvl="2" w:tplc="266ECB78">
      <w:start w:val="1"/>
      <w:numFmt w:val="bullet"/>
      <w:lvlText w:val="■"/>
      <w:lvlJc w:val="left"/>
      <w:pPr>
        <w:ind w:left="2160" w:hanging="360"/>
      </w:pPr>
    </w:lvl>
    <w:lvl w:ilvl="3" w:tplc="5A9EF916">
      <w:start w:val="1"/>
      <w:numFmt w:val="bullet"/>
      <w:lvlText w:val="●"/>
      <w:lvlJc w:val="left"/>
      <w:pPr>
        <w:ind w:left="2880" w:hanging="360"/>
      </w:pPr>
    </w:lvl>
    <w:lvl w:ilvl="4" w:tplc="8354C8F2">
      <w:start w:val="1"/>
      <w:numFmt w:val="bullet"/>
      <w:lvlText w:val="○"/>
      <w:lvlJc w:val="left"/>
      <w:pPr>
        <w:ind w:left="3600" w:hanging="360"/>
      </w:pPr>
    </w:lvl>
    <w:lvl w:ilvl="5" w:tplc="6C427F00">
      <w:start w:val="1"/>
      <w:numFmt w:val="bullet"/>
      <w:lvlText w:val="■"/>
      <w:lvlJc w:val="left"/>
      <w:pPr>
        <w:ind w:left="4320" w:hanging="360"/>
      </w:pPr>
    </w:lvl>
    <w:lvl w:ilvl="6" w:tplc="A0BCBB02">
      <w:start w:val="1"/>
      <w:numFmt w:val="bullet"/>
      <w:lvlText w:val="●"/>
      <w:lvlJc w:val="left"/>
      <w:pPr>
        <w:ind w:left="5040" w:hanging="360"/>
      </w:pPr>
    </w:lvl>
    <w:lvl w:ilvl="7" w:tplc="B038CF46">
      <w:start w:val="1"/>
      <w:numFmt w:val="bullet"/>
      <w:lvlText w:val="●"/>
      <w:lvlJc w:val="left"/>
      <w:pPr>
        <w:ind w:left="5760" w:hanging="360"/>
      </w:pPr>
    </w:lvl>
    <w:lvl w:ilvl="8" w:tplc="3E0E0526">
      <w:start w:val="1"/>
      <w:numFmt w:val="bullet"/>
      <w:lvlText w:val="●"/>
      <w:lvlJc w:val="left"/>
      <w:pPr>
        <w:ind w:left="6480" w:hanging="360"/>
      </w:pPr>
    </w:lvl>
  </w:abstractNum>
  <w:abstractNum w:abstractNumId="1" w15:restartNumberingAfterBreak="0">
    <w:nsid w:val="302715F3"/>
    <w:multiLevelType w:val="hybridMultilevel"/>
    <w:tmpl w:val="9D06595A"/>
    <w:lvl w:ilvl="0" w:tplc="37F2B9BE">
      <w:start w:val="1"/>
      <w:numFmt w:val="decimal"/>
      <w:lvlText w:val="%1."/>
      <w:lvlJc w:val="left"/>
      <w:pPr>
        <w:ind w:left="720" w:hanging="360"/>
      </w:pPr>
    </w:lvl>
    <w:lvl w:ilvl="1" w:tplc="316C8BF4">
      <w:numFmt w:val="decimal"/>
      <w:lvlText w:val=""/>
      <w:lvlJc w:val="left"/>
    </w:lvl>
    <w:lvl w:ilvl="2" w:tplc="73B45B1C">
      <w:numFmt w:val="decimal"/>
      <w:lvlText w:val=""/>
      <w:lvlJc w:val="left"/>
    </w:lvl>
    <w:lvl w:ilvl="3" w:tplc="C946090C">
      <w:numFmt w:val="decimal"/>
      <w:lvlText w:val=""/>
      <w:lvlJc w:val="left"/>
    </w:lvl>
    <w:lvl w:ilvl="4" w:tplc="5B00A06E">
      <w:numFmt w:val="decimal"/>
      <w:lvlText w:val=""/>
      <w:lvlJc w:val="left"/>
    </w:lvl>
    <w:lvl w:ilvl="5" w:tplc="25FEEE30">
      <w:numFmt w:val="decimal"/>
      <w:lvlText w:val=""/>
      <w:lvlJc w:val="left"/>
    </w:lvl>
    <w:lvl w:ilvl="6" w:tplc="2B2EFF78">
      <w:numFmt w:val="decimal"/>
      <w:lvlText w:val=""/>
      <w:lvlJc w:val="left"/>
    </w:lvl>
    <w:lvl w:ilvl="7" w:tplc="62FA7BB0">
      <w:numFmt w:val="decimal"/>
      <w:lvlText w:val=""/>
      <w:lvlJc w:val="left"/>
    </w:lvl>
    <w:lvl w:ilvl="8" w:tplc="B61E5528">
      <w:numFmt w:val="decimal"/>
      <w:lvlText w:val=""/>
      <w:lvlJc w:val="left"/>
    </w:lvl>
  </w:abstractNum>
  <w:num w:numId="1" w16cid:durableId="161359632">
    <w:abstractNumId w:val="0"/>
    <w:lvlOverride w:ilvl="0">
      <w:startOverride w:val="1"/>
    </w:lvlOverride>
  </w:num>
  <w:num w:numId="2" w16cid:durableId="23123852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3E82"/>
    <w:rsid w:val="00073E82"/>
    <w:rsid w:val="00476B9B"/>
    <w:rsid w:val="004A231F"/>
    <w:rsid w:val="009306A9"/>
    <w:rsid w:val="00C56F4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06F57"/>
  <w15:docId w15:val="{E3C51ABE-7ACA-42A6-A5D7-E2B1AE08A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480" w:after="240"/>
      <w:outlineLvl w:val="0"/>
    </w:pPr>
    <w:rPr>
      <w:b/>
      <w:bCs/>
      <w:sz w:val="24"/>
      <w:szCs w:val="24"/>
    </w:rPr>
  </w:style>
  <w:style w:type="paragraph" w:styleId="Kop2">
    <w:name w:val="heading 2"/>
    <w:uiPriority w:val="9"/>
    <w:unhideWhenUsed/>
    <w:qFormat/>
    <w:pPr>
      <w:spacing w:before="360" w:after="160"/>
      <w:outlineLvl w:val="1"/>
    </w:pPr>
    <w:rPr>
      <w:b/>
      <w:bCs/>
      <w:sz w:val="22"/>
      <w:szCs w:val="22"/>
    </w:rPr>
  </w:style>
  <w:style w:type="paragraph" w:styleId="Kop3">
    <w:name w:val="heading 3"/>
    <w:uiPriority w:val="9"/>
    <w:semiHidden/>
    <w:unhideWhenUsed/>
    <w:qFormat/>
    <w:pPr>
      <w:spacing w:before="240" w:after="120"/>
      <w:outlineLvl w:val="2"/>
    </w:pPr>
    <w:rPr>
      <w:b/>
      <w:bCs/>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style>
  <w:style w:type="character" w:customStyle="1" w:styleId="VoetnoottekstChar">
    <w:name w:val="Voetnoottekst Char"/>
    <w:link w:val="Voet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10374</Words>
  <Characters>57058</Characters>
  <Application>Microsoft Office Word</Application>
  <DocSecurity>0</DocSecurity>
  <Lines>475</Lines>
  <Paragraphs>134</Paragraphs>
  <ScaleCrop>false</ScaleCrop>
  <Company/>
  <LinksUpToDate>false</LinksUpToDate>
  <CharactersWithSpaces>67298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Beniers</cp:lastModifiedBy>
  <cp:revision>3</cp:revision>
  <dcterms:created xsi:type="dcterms:W3CDTF">2026-03-20T06:00:00Z</dcterms:created>
  <dcterms:modified xsi:type="dcterms:W3CDTF">2026-04-26T16:57:00Z</dcterms:modified>
</cp:coreProperties>
</file>