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4"/>
          <w:szCs w:val="44"/>
        </w:rPr>
        <w:t xml:space="preserve">Open SBOMs for Android Apps</w:t>
      </w:r>
    </w:p>
    <w:p>
      <w:pPr>
        <w:pBdr>
          <w:bottom w:val="single" w:color="1F3A5F" w:sz="8" w:space="6"/>
        </w:pBdr>
        <w:spacing w:after="240"/>
      </w:pPr>
      <w:r>
        <w:rPr>
          <w:rFonts w:ascii="Calibri" w:cs="Calibri" w:eastAsia="Calibri" w:hAnsi="Calibri"/>
          <w:color w:val="6B7280"/>
          <w:sz w:val="22"/>
          <w:szCs w:val="22"/>
        </w:rPr>
        <w:t xml:space="preserve">Proposal to the NLnet CodeSupply Fund. Call deadline: 3 November 2026, 12:00 CET.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Fund</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CodeSupply Fund</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Proposal title</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Open SBOMs for Android Apps</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Applicant</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[To complete]</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Type of applicant</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[To complete]</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Country</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Luxembourg</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Website / repositories</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A public repository will be created at the start of the project.</w:t>
            </w:r>
          </w:p>
        </w:tc>
      </w:tr>
      <w:tr>
        <w:trPr>
          <w:cantSplit/>
        </w:trPr>
        <w:tc>
          <w:tcPr>
            <w:tcW w:type="dxa" w:w="3000"/>
            <w:tcBorders>
              <w:top w:val="single" w:color="C9D2DD" w:sz="4"/>
              <w:left w:val="single" w:color="C9D2DD" w:sz="4"/>
              <w:bottom w:val="single" w:color="C9D2DD" w:sz="4"/>
              <w:right w:val="single" w:color="C9D2DD" w:sz="4"/>
            </w:tcBorders>
            <w:shd w:fill="EEF2F7" w:color="auto" w:val="clear"/>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Requested amount</w:t>
            </w:r>
          </w:p>
        </w:tc>
        <w:tc>
          <w:tcPr>
            <w:tcW w:type="dxa" w:w="66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50,000 EUR</w:t>
            </w:r>
          </w:p>
        </w:tc>
      </w:tr>
    </w:tbl>
    <w:p>
      <w:pPr>
        <w:widowControl/>
        <w:spacing w:after="120" w:before="200"/>
        <w:rPr>
          <w:i/>
          <w:iCs/>
          <w:color w:val="6B7280"/>
          <w:sz w:val="20"/>
          <w:szCs w:val="20"/>
        </w:rPr>
      </w:pPr>
      <w:r>
        <w:rPr>
          <w:rFonts w:ascii="Calibri" w:cs="Calibri" w:eastAsia="Calibri" w:hAnsi="Calibri"/>
          <w:i/>
          <w:iCs/>
          <w:color w:val="6B7280"/>
          <w:sz w:val="20"/>
          <w:szCs w:val="20"/>
        </w:rPr>
        <w:t xml:space="preserve">Each section below matches one field of the NLnet application form. The line under each title gives the form field and its length in characters.</w:t>
      </w:r>
    </w:p>
    <w:p>
      <w:pPr>
        <w:pStyle w:val="Heading1"/>
        <w:keepNext/>
        <w:keepLines/>
        <w:spacing w:after="60" w:before="360"/>
      </w:pPr>
      <w:r>
        <w:rPr>
          <w:rFonts w:ascii="Calibri" w:cs="Calibri" w:eastAsia="Calibri" w:hAnsi="Calibri"/>
          <w:b/>
          <w:bCs/>
          <w:color w:val="1F3A5F"/>
          <w:sz w:val="30"/>
          <w:szCs w:val="30"/>
        </w:rPr>
        <w:t xml:space="preserve">1. Abstract</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Project summary. Length: 868 of 1,000 characters.</w:t>
      </w:r>
    </w:p>
    <w:p>
      <w:pPr>
        <w:keepNext w:val="false"/>
        <w:widowControl/>
        <w:spacing w:after="140" w:before="0" w:line="276"/>
      </w:pPr>
      <w:r>
        <w:rPr>
          <w:rFonts w:ascii="Calibri" w:cs="Calibri" w:eastAsia="Calibri" w:hAnsi="Calibri"/>
          <w:sz w:val="22"/>
          <w:szCs w:val="22"/>
        </w:rPr>
        <w:t xml:space="preserve">Android apps contain more than their store pages show. An APK bundles third-party libraries and native code. Some apps also hold services that can read the screen and inject taps. Users and auditors cannot see this before installation, or when an update changes it.</w:t>
      </w:r>
    </w:p>
    <w:p>
      <w:pPr>
        <w:keepNext w:val="false"/>
        <w:widowControl/>
        <w:spacing w:after="140" w:before="0" w:line="276"/>
      </w:pPr>
      <w:r>
        <w:rPr>
          <w:rFonts w:ascii="Calibri" w:cs="Calibri" w:eastAsia="Calibri" w:hAnsi="Calibri"/>
          <w:sz w:val="22"/>
          <w:szCs w:val="22"/>
        </w:rPr>
        <w:t xml:space="preserve">We will build an open tool that writes a CycloneDX Software Bill of Materials (SBOM) for each Android app version. Each SBOM lists the libraries with their versions, the native code, AI services and capabilities such as screen reading. We will run the tool on the full F-Droid catalogue. We will publish the SBOMs as open data and report what each release changes.</w:t>
      </w:r>
    </w:p>
    <w:p>
      <w:pPr>
        <w:keepNext w:val="false"/>
        <w:widowControl/>
        <w:spacing w:after="140" w:before="0" w:line="276"/>
      </w:pPr>
      <w:r>
        <w:rPr>
          <w:rFonts w:ascii="Calibri" w:cs="Calibri" w:eastAsia="Calibri" w:hAnsi="Calibri"/>
          <w:sz w:val="22"/>
          <w:szCs w:val="22"/>
        </w:rPr>
        <w:t xml:space="preserve">In a pilot on 306 F-Droid apps, 84 APKs declare an accessibility service. The F-Droid index records it for 5 of them. In 471 updates of 121 sampled apps, 28.5% changed at least one library. The SBOMs will feed the CodeSupply catalogue.</w:t>
      </w:r>
    </w:p>
    <w:p>
      <w:pPr>
        <w:pStyle w:val="Heading1"/>
        <w:keepNext/>
        <w:keepLines/>
        <w:spacing w:after="60" w:before="360"/>
      </w:pPr>
      <w:r>
        <w:rPr>
          <w:rFonts w:ascii="Calibri" w:cs="Calibri" w:eastAsia="Calibri" w:hAnsi="Calibri"/>
          <w:b/>
          <w:bCs/>
          <w:color w:val="1F3A5F"/>
          <w:sz w:val="30"/>
          <w:szCs w:val="30"/>
        </w:rPr>
        <w:t xml:space="preserve">2. Budget and tasks</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Requested amount and budget breakdown. Length: 3,146 of 4,000 characters.</w:t>
      </w:r>
    </w:p>
    <w:p>
      <w:pPr>
        <w:keepNext w:val="false"/>
        <w:widowControl/>
        <w:spacing w:after="140" w:before="0" w:line="276"/>
      </w:pPr>
      <w:r>
        <w:rPr>
          <w:rFonts w:ascii="Calibri" w:cs="Calibri" w:eastAsia="Calibri" w:hAnsi="Calibri"/>
          <w:sz w:val="22"/>
          <w:szCs w:val="22"/>
        </w:rPr>
        <w:t xml:space="preserve">We request 50,000 EUR for 12 months. The work takes 98 person-days at one daily rate of 500 EUR, which gives 49,000 EUR. Expenses are 1,000 EUR, for travel to one community event (600 EUR) and for storage and computing (400 EUR). Each task ends with a public release, which serves as a payment milestone.</w:t>
      </w:r>
    </w:p>
    <w:p>
      <w:pPr>
        <w:keepNext w:val="false"/>
        <w:widowControl/>
        <w:spacing w:after="140" w:before="0" w:line="276"/>
      </w:pPr>
      <w:r>
        <w:rPr>
          <w:rFonts w:ascii="Calibri" w:cs="Calibri" w:eastAsia="Calibri" w:hAnsi="Calibri"/>
          <w:sz w:val="22"/>
          <w:szCs w:val="22"/>
        </w:rPr>
        <w:t xml:space="preserve">Computing costs are low. For the full catalogue, the pilot gives an estimate of 2.4 hours of download and 1.8 core-hours of analysis. The budget therefore pays for engineering, evaluation and outreach.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700"/>
        <w:gridCol w:w="1000"/>
        <w:gridCol w:w="4138"/>
      </w:tblGrid>
      <w:tr>
        <w:trPr>
          <w:cantSplit/>
          <w:tblHeader/>
        </w:trPr>
        <w:tc>
          <w:tcPr>
            <w:tcW w:type="dxa" w:w="2900"/>
            <w:tcBorders>
              <w:top w:val="single" w:color="C9D2DD" w:sz="4"/>
              <w:left w:val="single" w:color="C9D2DD" w:sz="4"/>
              <w:bottom w:val="single" w:color="C9D2DD" w:sz="4"/>
              <w:right w:val="single" w:color="C9D2DD" w:sz="4"/>
            </w:tcBorders>
            <w:shd w:fill="1F3A5F" w:color="auto" w:val="clear"/>
            <w:tcMar>
              <w:top w:type="dxa" w:w="70"/>
              <w:left w:type="dxa" w:w="110"/>
              <w:bottom w:type="dxa" w:w="70"/>
              <w:right w:type="dxa" w:w="110"/>
            </w:tcMar>
          </w:tcPr>
          <w:p>
            <w:pPr>
              <w:keepNext/>
            </w:pPr>
            <w:r>
              <w:rPr>
                <w:rFonts w:ascii="Calibri" w:cs="Calibri" w:eastAsia="Calibri" w:hAnsi="Calibri"/>
                <w:b/>
                <w:bCs/>
                <w:color w:val="FFFFFF"/>
                <w:sz w:val="20"/>
                <w:szCs w:val="20"/>
              </w:rPr>
              <w:t xml:space="preserve">Task</w:t>
            </w:r>
          </w:p>
        </w:tc>
        <w:tc>
          <w:tcPr>
            <w:tcW w:type="dxa" w:w="900"/>
            <w:tcBorders>
              <w:top w:val="single" w:color="C9D2DD" w:sz="4"/>
              <w:left w:val="single" w:color="C9D2DD" w:sz="4"/>
              <w:bottom w:val="single" w:color="C9D2DD" w:sz="4"/>
              <w:right w:val="single" w:color="C9D2DD" w:sz="4"/>
            </w:tcBorders>
            <w:shd w:fill="1F3A5F" w:color="auto" w:val="clear"/>
            <w:tcMar>
              <w:top w:type="dxa" w:w="70"/>
              <w:left w:type="dxa" w:w="110"/>
              <w:bottom w:type="dxa" w:w="70"/>
              <w:right w:type="dxa" w:w="110"/>
            </w:tcMar>
          </w:tcPr>
          <w:p>
            <w:pPr>
              <w:keepNext/>
            </w:pPr>
            <w:r>
              <w:rPr>
                <w:rFonts w:ascii="Calibri" w:cs="Calibri" w:eastAsia="Calibri" w:hAnsi="Calibri"/>
                <w:b/>
                <w:bCs/>
                <w:color w:val="FFFFFF"/>
                <w:sz w:val="20"/>
                <w:szCs w:val="20"/>
              </w:rPr>
              <w:t xml:space="preserve">Months</w:t>
            </w:r>
          </w:p>
        </w:tc>
        <w:tc>
          <w:tcPr>
            <w:tcW w:type="dxa" w:w="700"/>
            <w:tcBorders>
              <w:top w:val="single" w:color="C9D2DD" w:sz="4"/>
              <w:left w:val="single" w:color="C9D2DD" w:sz="4"/>
              <w:bottom w:val="single" w:color="C9D2DD" w:sz="4"/>
              <w:right w:val="single" w:color="C9D2DD" w:sz="4"/>
            </w:tcBorders>
            <w:shd w:fill="1F3A5F" w:color="auto" w:val="clear"/>
            <w:tcMar>
              <w:top w:type="dxa" w:w="70"/>
              <w:left w:type="dxa" w:w="110"/>
              <w:bottom w:type="dxa" w:w="70"/>
              <w:right w:type="dxa" w:w="110"/>
            </w:tcMar>
          </w:tcPr>
          <w:p>
            <w:pPr>
              <w:keepNext/>
            </w:pPr>
            <w:r>
              <w:rPr>
                <w:rFonts w:ascii="Calibri" w:cs="Calibri" w:eastAsia="Calibri" w:hAnsi="Calibri"/>
                <w:b/>
                <w:bCs/>
                <w:color w:val="FFFFFF"/>
                <w:sz w:val="20"/>
                <w:szCs w:val="20"/>
              </w:rPr>
              <w:t xml:space="preserve">Days</w:t>
            </w:r>
          </w:p>
        </w:tc>
        <w:tc>
          <w:tcPr>
            <w:tcW w:type="dxa" w:w="1000"/>
            <w:tcBorders>
              <w:top w:val="single" w:color="C9D2DD" w:sz="4"/>
              <w:left w:val="single" w:color="C9D2DD" w:sz="4"/>
              <w:bottom w:val="single" w:color="C9D2DD" w:sz="4"/>
              <w:right w:val="single" w:color="C9D2DD" w:sz="4"/>
            </w:tcBorders>
            <w:shd w:fill="1F3A5F" w:color="auto" w:val="clear"/>
            <w:tcMar>
              <w:top w:type="dxa" w:w="70"/>
              <w:left w:type="dxa" w:w="110"/>
              <w:bottom w:type="dxa" w:w="70"/>
              <w:right w:type="dxa" w:w="110"/>
            </w:tcMar>
          </w:tcPr>
          <w:p>
            <w:pPr>
              <w:keepNext/>
            </w:pPr>
            <w:r>
              <w:rPr>
                <w:rFonts w:ascii="Calibri" w:cs="Calibri" w:eastAsia="Calibri" w:hAnsi="Calibri"/>
                <w:b/>
                <w:bCs/>
                <w:color w:val="FFFFFF"/>
                <w:sz w:val="20"/>
                <w:szCs w:val="20"/>
              </w:rPr>
              <w:t xml:space="preserve">EUR</w:t>
            </w:r>
          </w:p>
        </w:tc>
        <w:tc>
          <w:tcPr>
            <w:tcW w:type="dxa" w:w="4138"/>
            <w:tcBorders>
              <w:top w:val="single" w:color="C9D2DD" w:sz="4"/>
              <w:left w:val="single" w:color="C9D2DD" w:sz="4"/>
              <w:bottom w:val="single" w:color="C9D2DD" w:sz="4"/>
              <w:right w:val="single" w:color="C9D2DD" w:sz="4"/>
            </w:tcBorders>
            <w:shd w:fill="1F3A5F" w:color="auto" w:val="clear"/>
            <w:tcMar>
              <w:top w:type="dxa" w:w="70"/>
              <w:left w:type="dxa" w:w="110"/>
              <w:bottom w:type="dxa" w:w="70"/>
              <w:right w:type="dxa" w:w="110"/>
            </w:tcMar>
          </w:tcPr>
          <w:p>
            <w:pPr>
              <w:keepNext/>
            </w:pPr>
            <w:r>
              <w:rPr>
                <w:rFonts w:ascii="Calibri" w:cs="Calibri" w:eastAsia="Calibri" w:hAnsi="Calibri"/>
                <w:b/>
                <w:bCs/>
                <w:color w:val="FFFFFF"/>
                <w:sz w:val="20"/>
                <w:szCs w:val="20"/>
              </w:rPr>
              <w:t xml:space="preserve">Milestone</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T1. Capability scanner</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1-3</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15</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7,500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Tool release with tests</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T2. Library identification</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2-7</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27</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13,500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Detection module and evaluation report</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T3. SBOM format and standards</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3-5</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12</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6,000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Specification, taxonomy and purl proposals</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T4. Catalogue run and change tracking</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7-9</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12</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6,000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Open dataset and change reports</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T5. Integration</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8-11</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13</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6,500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CodeSupply export, OSV matching, upstream proposals</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T6. Documentation</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9-12</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8</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4,000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Documentation site</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T7. Dissemination</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10-12</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5</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2,500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Public talk and slides</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T8. Management and quality</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1-12</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6</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3,000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Reports and security review</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Expenses</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1,000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val="false"/>
                <w:bCs w:val="false"/>
                <w:sz w:val="20"/>
                <w:szCs w:val="20"/>
              </w:rPr>
              <w:t xml:space="preserve">Travel, storage and computing</w:t>
            </w:r>
          </w:p>
        </w:tc>
      </w:tr>
      <w:tr>
        <w:trPr>
          <w:cantSplit/>
        </w:trPr>
        <w:tc>
          <w:tcPr>
            <w:tcW w:type="dxa" w:w="2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bCs/>
                <w:sz w:val="20"/>
                <w:szCs w:val="20"/>
              </w:rPr>
              <w:t xml:space="preserve">Total</w:t>
            </w:r>
          </w:p>
        </w:tc>
        <w:tc>
          <w:tcPr>
            <w:tcW w:type="dxa" w:w="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bCs/>
                <w:sz w:val="20"/>
                <w:szCs w:val="20"/>
              </w:rPr>
              <w:t xml:space="preserve">12</w:t>
            </w:r>
          </w:p>
        </w:tc>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bCs/>
                <w:sz w:val="20"/>
                <w:szCs w:val="20"/>
              </w:rPr>
              <w:t xml:space="preserve">98</w:t>
            </w:r>
          </w:p>
        </w:tc>
        <w:tc>
          <w:tcPr>
            <w:tcW w:type="dxa" w:w="1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bCs/>
                <w:sz w:val="20"/>
                <w:szCs w:val="20"/>
              </w:rPr>
              <w:t xml:space="preserve">50,000</w:t>
            </w:r>
          </w:p>
        </w:tc>
        <w:tc>
          <w:tcPr>
            <w:tcW w:type="dxa" w:w="4138"/>
            <w:tcBorders>
              <w:top w:val="single" w:color="C9D2DD" w:sz="4"/>
              <w:left w:val="single" w:color="C9D2DD" w:sz="4"/>
              <w:bottom w:val="single" w:color="C9D2DD" w:sz="4"/>
              <w:right w:val="single" w:color="C9D2DD" w:sz="4"/>
            </w:tcBorders>
            <w:tcMar>
              <w:top w:type="dxa" w:w="70"/>
              <w:left w:type="dxa" w:w="110"/>
              <w:bottom w:type="dxa" w:w="70"/>
              <w:right w:type="dxa" w:w="110"/>
            </w:tcMar>
          </w:tcPr>
          <w:p>
            <w:pPr>
              <w:keepNext w:val="false"/>
            </w:pPr>
            <w:r>
              <w:rPr>
                <w:rFonts w:ascii="Calibri" w:cs="Calibri" w:eastAsia="Calibri" w:hAnsi="Calibri"/>
                <w:b/>
                <w:bCs/>
                <w:sz w:val="20"/>
                <w:szCs w:val="20"/>
              </w:rPr>
              <w:t xml:space="preserve"/>
            </w:r>
          </w:p>
        </w:tc>
      </w:tr>
    </w:tbl>
    <w:p>
      <w:pPr>
        <w:widowControl/>
        <w:spacing w:after="80"/>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1F3A5F"/>
          <w:sz w:val="24"/>
          <w:szCs w:val="24"/>
        </w:rPr>
        <w:t xml:space="preserve">Capability scanner (T1, 15 days)</w:t>
      </w:r>
    </w:p>
    <w:p>
      <w:pPr>
        <w:keepNext w:val="false"/>
        <w:widowControl/>
        <w:spacing w:after="140" w:before="0" w:line="276"/>
      </w:pPr>
      <w:r>
        <w:rPr>
          <w:rFonts w:ascii="Calibri" w:cs="Calibri" w:eastAsia="Calibri" w:hAnsi="Calibri"/>
          <w:sz w:val="22"/>
          <w:szCs w:val="22"/>
        </w:rPr>
        <w:t xml:space="preserve">We turn the pilot scripts into a packaged command-line tool. It reads each APK without running it. It extracts the accessibility configuration, permissions, native libraries and AI-related signals. We add the AI patterns that the pilot missed, such as the MCP client SDK.</w:t>
      </w:r>
    </w:p>
    <w:p>
      <w:pPr>
        <w:pStyle w:val="Heading2"/>
        <w:keepNext/>
        <w:spacing w:after="80" w:before="200"/>
      </w:pPr>
      <w:r>
        <w:rPr>
          <w:rFonts w:ascii="Calibri" w:cs="Calibri" w:eastAsia="Calibri" w:hAnsi="Calibri"/>
          <w:b/>
          <w:bCs/>
          <w:color w:val="1F3A5F"/>
          <w:sz w:val="24"/>
          <w:szCs w:val="24"/>
        </w:rPr>
        <w:t xml:space="preserve">Library identification (T2, 27 days)</w:t>
      </w:r>
    </w:p>
    <w:p>
      <w:pPr>
        <w:keepNext w:val="false"/>
        <w:widowControl/>
        <w:spacing w:after="140" w:before="0" w:line="276"/>
      </w:pPr>
      <w:r>
        <w:rPr>
          <w:rFonts w:ascii="Calibri" w:cs="Calibri" w:eastAsia="Calibri" w:hAnsi="Calibri"/>
          <w:sz w:val="22"/>
          <w:szCs w:val="22"/>
        </w:rPr>
        <w:t xml:space="preserve">This is the largest task, because the pilot showed it is the hardest part.</w:t>
      </w:r>
    </w:p>
    <w:p>
      <w:pPr>
        <w:pStyle w:val="ListParagraph"/>
        <w:keepNext w:val="false"/>
        <w:numPr>
          <w:ilvl w:val="0"/>
          <w:numId w:val="2"/>
        </w:numPr>
        <w:spacing w:after="80" w:line="276"/>
      </w:pPr>
      <w:r>
        <w:rPr>
          <w:rFonts w:ascii="Calibri" w:cs="Calibri" w:eastAsia="Calibri" w:hAnsi="Calibri"/>
          <w:sz w:val="22"/>
          <w:szCs w:val="22"/>
        </w:rPr>
        <w:t xml:space="preserve">We read Maven version files when the APK contains them.</w:t>
      </w:r>
    </w:p>
    <w:p>
      <w:pPr>
        <w:pStyle w:val="ListParagraph"/>
        <w:keepNext w:val="false"/>
        <w:numPr>
          <w:ilvl w:val="0"/>
          <w:numId w:val="2"/>
        </w:numPr>
        <w:spacing w:after="80" w:line="276"/>
      </w:pPr>
      <w:r>
        <w:rPr>
          <w:rFonts w:ascii="Calibri" w:cs="Calibri" w:eastAsia="Calibri" w:hAnsi="Calibri"/>
          <w:sz w:val="22"/>
          <w:szCs w:val="22"/>
        </w:rPr>
        <w:t xml:space="preserve">We match code against fingerprints built from Maven Central artifacts, to recover renamed libraries.</w:t>
      </w:r>
    </w:p>
    <w:p>
      <w:pPr>
        <w:pStyle w:val="ListParagraph"/>
        <w:keepNext w:val="false"/>
        <w:numPr>
          <w:ilvl w:val="0"/>
          <w:numId w:val="2"/>
        </w:numPr>
        <w:spacing w:after="80" w:line="276"/>
      </w:pPr>
      <w:r>
        <w:rPr>
          <w:rFonts w:ascii="Calibri" w:cs="Calibri" w:eastAsia="Calibri" w:hAnsi="Calibri"/>
          <w:sz w:val="22"/>
          <w:szCs w:val="22"/>
        </w:rPr>
        <w:t xml:space="preserve">We grow the ground truth from 9 to 30 apps. We tune on 20 apps and report recall on 10 held-out apps.</w:t>
      </w:r>
    </w:p>
    <w:p>
      <w:pPr>
        <w:pStyle w:val="Heading2"/>
        <w:keepNext/>
        <w:spacing w:after="80" w:before="200"/>
      </w:pPr>
      <w:r>
        <w:rPr>
          <w:rFonts w:ascii="Calibri" w:cs="Calibri" w:eastAsia="Calibri" w:hAnsi="Calibri"/>
          <w:b/>
          <w:bCs/>
          <w:color w:val="1F3A5F"/>
          <w:sz w:val="24"/>
          <w:szCs w:val="24"/>
        </w:rPr>
        <w:t xml:space="preserve">SBOM format and standards (T3, 12 days)</w:t>
      </w:r>
    </w:p>
    <w:p>
      <w:pPr>
        <w:keepNext w:val="false"/>
        <w:widowControl/>
        <w:spacing w:after="140" w:before="0" w:line="276"/>
      </w:pPr>
      <w:r>
        <w:rPr>
          <w:rFonts w:ascii="Calibri" w:cs="Calibri" w:eastAsia="Calibri" w:hAnsi="Calibri"/>
          <w:sz w:val="22"/>
          <w:szCs w:val="22"/>
        </w:rPr>
        <w:t xml:space="preserve">We fix how an APK maps to CycloneDX 1.6. We submit our capability properties to the CycloneDX property taxonomy. We propose a package URL (purl) type for Android apps to the purl specification.</w:t>
      </w:r>
    </w:p>
    <w:p>
      <w:pPr>
        <w:pStyle w:val="Heading2"/>
        <w:keepNext/>
        <w:spacing w:after="80" w:before="200"/>
      </w:pPr>
      <w:r>
        <w:rPr>
          <w:rFonts w:ascii="Calibri" w:cs="Calibri" w:eastAsia="Calibri" w:hAnsi="Calibri"/>
          <w:b/>
          <w:bCs/>
          <w:color w:val="1F3A5F"/>
          <w:sz w:val="24"/>
          <w:szCs w:val="24"/>
        </w:rPr>
        <w:t xml:space="preserve">Catalogue run and change tracking (T4, 12 days)</w:t>
      </w:r>
    </w:p>
    <w:p>
      <w:pPr>
        <w:keepNext w:val="false"/>
        <w:widowControl/>
        <w:spacing w:after="140" w:before="0" w:line="276"/>
      </w:pPr>
      <w:r>
        <w:rPr>
          <w:rFonts w:ascii="Calibri" w:cs="Calibri" w:eastAsia="Calibri" w:hAnsi="Calibri"/>
          <w:sz w:val="22"/>
          <w:szCs w:val="22"/>
        </w:rPr>
        <w:t xml:space="preserve">We process every F-Droid app, then the older versions that F-Droid keeps. For each update, we report what changed in libraries, native code, capabilities and signing key. The analysis takes a few hours. Most days go to failed parses, very large APKs, the job for new releases and manual checks of a random sample.</w:t>
      </w:r>
    </w:p>
    <w:p>
      <w:pPr>
        <w:pStyle w:val="Heading2"/>
        <w:keepNext/>
        <w:spacing w:after="80" w:before="200"/>
      </w:pPr>
      <w:r>
        <w:rPr>
          <w:rFonts w:ascii="Calibri" w:cs="Calibri" w:eastAsia="Calibri" w:hAnsi="Calibri"/>
          <w:b/>
          <w:bCs/>
          <w:color w:val="1F3A5F"/>
          <w:sz w:val="24"/>
          <w:szCs w:val="24"/>
        </w:rPr>
        <w:t xml:space="preserve">Integration (T5, 13 days)</w:t>
      </w:r>
    </w:p>
    <w:p>
      <w:pPr>
        <w:keepNext w:val="false"/>
        <w:widowControl/>
        <w:spacing w:after="140" w:before="0" w:line="276"/>
      </w:pPr>
      <w:r>
        <w:rPr>
          <w:rFonts w:ascii="Calibri" w:cs="Calibri" w:eastAsia="Calibri" w:hAnsi="Calibri"/>
          <w:sz w:val="22"/>
          <w:szCs w:val="22"/>
        </w:rPr>
        <w:t xml:space="preserve">In month 1, we agree on the export format with the CodeSupply consortium. We plan CycloneDX with purl identifiers, which AboutCode's PurlDB uses as its key. We match versioned components against OSV. We offer the data to F-Droid, IzzyOnDroid and Exodus Privacy.</w:t>
      </w:r>
    </w:p>
    <w:p>
      <w:pPr>
        <w:pStyle w:val="Heading2"/>
        <w:keepNext/>
        <w:spacing w:after="80" w:before="200"/>
      </w:pPr>
      <w:r>
        <w:rPr>
          <w:rFonts w:ascii="Calibri" w:cs="Calibri" w:eastAsia="Calibri" w:hAnsi="Calibri"/>
          <w:b/>
          <w:bCs/>
          <w:color w:val="1F3A5F"/>
          <w:sz w:val="24"/>
          <w:szCs w:val="24"/>
        </w:rPr>
        <w:t xml:space="preserve">Documentation, dissemination and management (T6 to T8, 19 days)</w:t>
      </w:r>
    </w:p>
    <w:p>
      <w:pPr>
        <w:keepNext w:val="false"/>
        <w:widowControl/>
        <w:spacing w:after="140" w:before="0" w:line="276"/>
      </w:pPr>
      <w:r>
        <w:rPr>
          <w:rFonts w:ascii="Calibri" w:cs="Calibri" w:eastAsia="Calibri" w:hAnsi="Calibri"/>
          <w:sz w:val="22"/>
          <w:szCs w:val="22"/>
        </w:rPr>
        <w:t xml:space="preserve">We write user and developer documentation, with a guide on how to read an Android SBOM. We present the results at a community event such as FOSDEM. Management covers reporting, a security review of the tool and accessibility checks of the documentation.</w:t>
      </w:r>
    </w:p>
    <w:p>
      <w:pPr>
        <w:pStyle w:val="Heading1"/>
        <w:keepNext/>
        <w:keepLines/>
        <w:spacing w:after="60" w:before="360"/>
      </w:pPr>
      <w:r>
        <w:rPr>
          <w:rFonts w:ascii="Calibri" w:cs="Calibri" w:eastAsia="Calibri" w:hAnsi="Calibri"/>
          <w:b/>
          <w:bCs/>
          <w:color w:val="1F3A5F"/>
          <w:sz w:val="30"/>
          <w:szCs w:val="30"/>
        </w:rPr>
        <w:t xml:space="preserve">3. Comparison with existing efforts</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Comparison with other efforts. Length: 2,881 of 4,000 characters.</w:t>
      </w:r>
    </w:p>
    <w:p>
      <w:pPr>
        <w:keepNext w:val="false"/>
        <w:widowControl/>
        <w:spacing w:after="140" w:before="0" w:line="276"/>
      </w:pPr>
      <w:r>
        <w:rPr>
          <w:rFonts w:ascii="Calibri" w:cs="Calibri" w:eastAsia="Calibri" w:hAnsi="Calibri"/>
          <w:sz w:val="22"/>
          <w:szCs w:val="22"/>
        </w:rPr>
        <w:t xml:space="preserve">No public source lists, for each Android app version, what the app contains and what it can do. Five kinds of work cover parts of this need. For each one, we state what it does well and what it leaves open.</w:t>
      </w:r>
    </w:p>
    <w:p>
      <w:pPr>
        <w:pStyle w:val="Heading2"/>
        <w:keepNext/>
        <w:spacing w:after="80" w:before="200"/>
      </w:pPr>
      <w:r>
        <w:rPr>
          <w:rFonts w:ascii="Calibri" w:cs="Calibri" w:eastAsia="Calibri" w:hAnsi="Calibri"/>
          <w:b/>
          <w:bCs/>
          <w:color w:val="1F3A5F"/>
          <w:sz w:val="24"/>
          <w:szCs w:val="24"/>
        </w:rPr>
        <w:t xml:space="preserve">3.1 F-Droid metadata</w:t>
      </w:r>
    </w:p>
    <w:p>
      <w:pPr>
        <w:keepNext w:val="false"/>
        <w:widowControl/>
        <w:spacing w:after="140" w:before="0" w:line="276"/>
      </w:pPr>
      <w:r>
        <w:rPr>
          <w:rFonts w:ascii="Calibri" w:cs="Calibri" w:eastAsia="Calibri" w:hAnsi="Calibri"/>
          <w:sz w:val="22"/>
          <w:szCs w:val="22"/>
        </w:rPr>
        <w:t xml:space="preserve">The F-Droid index lists permissions and anti-features for each app. It is accurate for ordinary permissions. On 613 F-Droid APKs from 142 apps, it matched the APK on INTERNET and overlay in all 613 cases.</w:t>
      </w:r>
    </w:p>
    <w:p>
      <w:pPr>
        <w:pStyle w:val="ListParagraph"/>
        <w:keepNext w:val="false"/>
        <w:numPr>
          <w:ilvl w:val="0"/>
          <w:numId w:val="2"/>
        </w:numPr>
        <w:spacing w:after="80" w:line="276"/>
      </w:pPr>
      <w:r>
        <w:rPr>
          <w:rFonts w:ascii="Calibri" w:cs="Calibri" w:eastAsia="Calibri" w:hAnsi="Calibri"/>
          <w:sz w:val="22"/>
          <w:szCs w:val="22"/>
        </w:rPr>
        <w:t xml:space="preserve">The index has no field for accessibility services. It flagged one in 21 of the 353 APKs that declare a service.</w:t>
      </w:r>
    </w:p>
    <w:p>
      <w:pPr>
        <w:pStyle w:val="ListParagraph"/>
        <w:keepNext w:val="false"/>
        <w:numPr>
          <w:ilvl w:val="0"/>
          <w:numId w:val="2"/>
        </w:numPr>
        <w:spacing w:after="80" w:line="276"/>
      </w:pPr>
      <w:r>
        <w:rPr>
          <w:rFonts w:ascii="Calibri" w:cs="Calibri" w:eastAsia="Calibri" w:hAnsi="Calibri"/>
          <w:sz w:val="22"/>
          <w:szCs w:val="22"/>
        </w:rPr>
        <w:t xml:space="preserve">It has no field for screen reading, gesture injection, AI services or embedded libraries.</w:t>
      </w:r>
    </w:p>
    <w:p>
      <w:pPr>
        <w:pStyle w:val="Heading2"/>
        <w:keepNext/>
        <w:spacing w:after="80" w:before="200"/>
      </w:pPr>
      <w:r>
        <w:rPr>
          <w:rFonts w:ascii="Calibri" w:cs="Calibri" w:eastAsia="Calibri" w:hAnsi="Calibri"/>
          <w:b/>
          <w:bCs/>
          <w:color w:val="1F3A5F"/>
          <w:sz w:val="24"/>
          <w:szCs w:val="24"/>
        </w:rPr>
        <w:t xml:space="preserve">3.2 Exodus Privacy</w:t>
      </w:r>
    </w:p>
    <w:p>
      <w:pPr>
        <w:keepNext w:val="false"/>
        <w:widowControl/>
        <w:spacing w:after="140" w:before="0" w:line="276"/>
      </w:pPr>
      <w:r>
        <w:rPr>
          <w:rFonts w:ascii="Calibri" w:cs="Calibri" w:eastAsia="Calibri" w:hAnsi="Calibri"/>
          <w:sz w:val="22"/>
          <w:szCs w:val="22"/>
        </w:rPr>
        <w:t xml:space="preserve">Exodus Privacy detects known trackers and lists permissions. Its engine, exodus-core, agrees with our tracker matching on all 42 pilot apps. Its reports do not list versioned libraries, native code or AI services. Our 42 SBOMs list 2,429 versioned components that the reports do not show. We will reuse the Exodus tracker signatures.</w:t>
      </w:r>
    </w:p>
    <w:p>
      <w:pPr>
        <w:pStyle w:val="Heading2"/>
        <w:keepNext/>
        <w:spacing w:after="80" w:before="200"/>
      </w:pPr>
      <w:r>
        <w:rPr>
          <w:rFonts w:ascii="Calibri" w:cs="Calibri" w:eastAsia="Calibri" w:hAnsi="Calibri"/>
          <w:b/>
          <w:bCs/>
          <w:color w:val="1F3A5F"/>
          <w:sz w:val="24"/>
          <w:szCs w:val="24"/>
        </w:rPr>
        <w:t xml:space="preserve">3.3 IzzyOnDroid scanner and LibChecker</w:t>
      </w:r>
    </w:p>
    <w:p>
      <w:pPr>
        <w:keepNext w:val="false"/>
        <w:widowControl/>
        <w:spacing w:after="140" w:before="0" w:line="276"/>
      </w:pPr>
      <w:r>
        <w:rPr>
          <w:rFonts w:ascii="Calibri" w:cs="Calibri" w:eastAsia="Calibri" w:hAnsi="Calibri"/>
          <w:sz w:val="22"/>
          <w:szCs w:val="22"/>
        </w:rPr>
        <w:t xml:space="preserve">The IzzyOnDroid repository scans each APK it publishes. Its scanner lists the libraries an APK contains and flags sensitive intent filters, including accessibility services. Results appear on each app page of that repository. Its description mentions no library versions and no machine-readable export. LibChecker is an open-source app that lists the libraries of apps on one device. It produces no shared dataset. We will contact the IzzyOnDroid maintainer to align capability names.</w:t>
      </w:r>
    </w:p>
    <w:p>
      <w:pPr>
        <w:pStyle w:val="Heading2"/>
        <w:keepNext/>
        <w:spacing w:after="80" w:before="200"/>
      </w:pPr>
      <w:r>
        <w:rPr>
          <w:rFonts w:ascii="Calibri" w:cs="Calibri" w:eastAsia="Calibri" w:hAnsi="Calibri"/>
          <w:b/>
          <w:bCs/>
          <w:color w:val="1F3A5F"/>
          <w:sz w:val="24"/>
          <w:szCs w:val="24"/>
        </w:rPr>
        <w:t xml:space="preserve">3.4 Research tools for library detection</w:t>
      </w:r>
    </w:p>
    <w:p>
      <w:pPr>
        <w:keepNext w:val="false"/>
        <w:widowControl/>
        <w:spacing w:after="140" w:before="0" w:line="276"/>
      </w:pPr>
      <w:r>
        <w:rPr>
          <w:rFonts w:ascii="Calibri" w:cs="Calibri" w:eastAsia="Calibri" w:hAnsi="Calibri"/>
          <w:sz w:val="22"/>
          <w:szCs w:val="22"/>
        </w:rPr>
        <w:t xml:space="preserve">LibScout [3] and LibRadar identify third-party libraries in Android apps. Zhan et al. compared the public detectors in 2020 [4]. They advised LibPecker for obfuscated code, LibRadar for large scale and LibScout for exact versions. We tested these three tools for reuse.</w:t>
      </w:r>
    </w:p>
    <w:p>
      <w:pPr>
        <w:pStyle w:val="ListParagraph"/>
        <w:keepNext w:val="false"/>
        <w:numPr>
          <w:ilvl w:val="0"/>
          <w:numId w:val="2"/>
        </w:numPr>
        <w:spacing w:after="80" w:line="276"/>
      </w:pPr>
      <w:r>
        <w:rPr>
          <w:rFonts w:ascii="Calibri" w:cs="Calibri" w:eastAsia="Calibri" w:hAnsi="Calibri"/>
          <w:sz w:val="22"/>
          <w:szCs w:val="22"/>
        </w:rPr>
        <w:t xml:space="preserve">The LibPecker repository is no longer online.</w:t>
      </w:r>
    </w:p>
    <w:p>
      <w:pPr>
        <w:pStyle w:val="ListParagraph"/>
        <w:keepNext w:val="false"/>
        <w:numPr>
          <w:ilvl w:val="0"/>
          <w:numId w:val="2"/>
        </w:numPr>
        <w:spacing w:after="80" w:line="276"/>
      </w:pPr>
      <w:r>
        <w:rPr>
          <w:rFonts w:ascii="Calibri" w:cs="Calibri" w:eastAsia="Calibri" w:hAnsi="Calibri"/>
          <w:sz w:val="22"/>
          <w:szCs w:val="22"/>
        </w:rPr>
        <w:t xml:space="preserve">LibRadar needs Python 2 and an external database, and was last updated in 2020.</w:t>
      </w:r>
    </w:p>
    <w:p>
      <w:pPr>
        <w:pStyle w:val="ListParagraph"/>
        <w:keepNext w:val="false"/>
        <w:numPr>
          <w:ilvl w:val="0"/>
          <w:numId w:val="2"/>
        </w:numPr>
        <w:spacing w:after="80" w:line="276"/>
      </w:pPr>
      <w:r>
        <w:rPr>
          <w:rFonts w:ascii="Calibri" w:cs="Calibri" w:eastAsia="Calibri" w:hAnsi="Calibri"/>
          <w:sz w:val="22"/>
          <w:szCs w:val="22"/>
        </w:rPr>
        <w:t xml:space="preserve">LibScout builds only with JDK 8 and needs one profile per library version. In Key Mapper, it found none of three declared libraries.</w:t>
      </w:r>
    </w:p>
    <w:p>
      <w:pPr>
        <w:keepNext/>
        <w:widowControl/>
        <w:spacing w:after="140" w:before="100" w:line="276"/>
      </w:pPr>
      <w:r>
        <w:rPr>
          <w:rFonts w:ascii="Calibri" w:cs="Calibri" w:eastAsia="Calibri" w:hAnsi="Calibri"/>
          <w:sz w:val="22"/>
          <w:szCs w:val="22"/>
        </w:rPr>
        <w:t xml:space="preserve">We reuse their ideas, such as code fingerprints, in a maintained pipeline.</w:t>
      </w:r>
    </w:p>
    <w:p>
      <w:pPr>
        <w:pStyle w:val="Heading2"/>
        <w:keepNext/>
        <w:spacing w:after="80" w:before="200"/>
      </w:pPr>
      <w:r>
        <w:rPr>
          <w:rFonts w:ascii="Calibri" w:cs="Calibri" w:eastAsia="Calibri" w:hAnsi="Calibri"/>
          <w:b/>
          <w:bCs/>
          <w:color w:val="1F3A5F"/>
          <w:sz w:val="24"/>
          <w:szCs w:val="24"/>
        </w:rPr>
        <w:t xml:space="preserve">3.5 Runtime detection</w:t>
      </w:r>
    </w:p>
    <w:p>
      <w:pPr>
        <w:keepNext w:val="false"/>
        <w:widowControl/>
        <w:spacing w:after="140" w:before="0" w:line="276"/>
      </w:pPr>
      <w:r>
        <w:rPr>
          <w:rFonts w:ascii="Calibri" w:cs="Calibri" w:eastAsia="Calibri" w:hAnsi="Calibri"/>
          <w:sz w:val="22"/>
          <w:szCs w:val="22"/>
        </w:rPr>
        <w:t xml:space="preserve">Accessibility can give an app control of the user interface [1] and expose the content of other apps [2]. Our recent study detects model-driven accessibility abuse at runtime. On 83 recorded traces, it caught 46 of 49 attacks with no false alarm on 34 benign traces. A runtime detector needs a live device. It cannot tell a store in advance which apps hold the needed capabilities. SBOMs give that view before installation.</w:t>
      </w:r>
    </w:p>
    <w:p>
      <w:pPr>
        <w:keepNext/>
        <w:spacing w:after="60" w:before="160"/>
      </w:pPr>
      <w:r>
        <w:rPr>
          <w:rFonts w:ascii="Calibri" w:cs="Calibri" w:eastAsia="Calibri" w:hAnsi="Calibri"/>
          <w:b/>
          <w:bCs/>
          <w:color w:val="6B7280"/>
          <w:sz w:val="20"/>
          <w:szCs w:val="20"/>
        </w:rPr>
        <w:t xml:space="preserve">References</w:t>
      </w:r>
    </w:p>
    <w:p>
      <w:pPr>
        <w:keepNext/>
        <w:widowControl/>
        <w:spacing w:after="40"/>
        <w:rPr>
          <w:color w:val="374151"/>
          <w:sz w:val="19"/>
          <w:szCs w:val="19"/>
        </w:rPr>
      </w:pPr>
      <w:r>
        <w:rPr>
          <w:rFonts w:ascii="Calibri" w:cs="Calibri" w:eastAsia="Calibri" w:hAnsi="Calibri"/>
          <w:color w:val="374151"/>
          <w:sz w:val="19"/>
          <w:szCs w:val="19"/>
        </w:rPr>
        <w:t xml:space="preserve">[1] Fratantonio et al., IEEE S&amp;P 2017. doi:10.1109/SP.2017.39</w:t>
      </w:r>
    </w:p>
    <w:p>
      <w:pPr>
        <w:keepNext/>
        <w:widowControl/>
        <w:spacing w:after="40"/>
        <w:rPr>
          <w:color w:val="374151"/>
          <w:sz w:val="19"/>
          <w:szCs w:val="19"/>
        </w:rPr>
      </w:pPr>
      <w:r>
        <w:rPr>
          <w:rFonts w:ascii="Calibri" w:cs="Calibri" w:eastAsia="Calibri" w:hAnsi="Calibri"/>
          <w:color w:val="374151"/>
          <w:sz w:val="19"/>
          <w:szCs w:val="19"/>
        </w:rPr>
        <w:t xml:space="preserve">[2] Naseri et al., PoPETs 2019. doi:10.2478/popets-2019-0031</w:t>
      </w:r>
    </w:p>
    <w:p>
      <w:pPr>
        <w:keepNext/>
        <w:widowControl/>
        <w:spacing w:after="40"/>
        <w:rPr>
          <w:color w:val="374151"/>
          <w:sz w:val="19"/>
          <w:szCs w:val="19"/>
        </w:rPr>
      </w:pPr>
      <w:r>
        <w:rPr>
          <w:rFonts w:ascii="Calibri" w:cs="Calibri" w:eastAsia="Calibri" w:hAnsi="Calibri"/>
          <w:color w:val="374151"/>
          <w:sz w:val="19"/>
          <w:szCs w:val="19"/>
        </w:rPr>
        <w:t xml:space="preserve">[3] Backes, Bugiel, Derr, ACM CCS 2016. doi:10.1145/2976749.2978333</w:t>
      </w:r>
    </w:p>
    <w:p>
      <w:pPr>
        <w:keepNext w:val="false"/>
        <w:widowControl/>
        <w:spacing w:after="40"/>
        <w:rPr>
          <w:color w:val="374151"/>
          <w:sz w:val="19"/>
          <w:szCs w:val="19"/>
        </w:rPr>
      </w:pPr>
      <w:r>
        <w:rPr>
          <w:rFonts w:ascii="Calibri" w:cs="Calibri" w:eastAsia="Calibri" w:hAnsi="Calibri"/>
          <w:color w:val="374151"/>
          <w:sz w:val="19"/>
          <w:szCs w:val="19"/>
        </w:rPr>
        <w:t xml:space="preserve">[4] Zhan et al., IEEE/ACM ASE 2020. doi:10.1145/3324884.3416582</w:t>
      </w:r>
    </w:p>
    <w:p>
      <w:pPr>
        <w:pStyle w:val="Heading1"/>
        <w:keepNext/>
        <w:keepLines/>
        <w:spacing w:after="60" w:before="360"/>
      </w:pPr>
      <w:r>
        <w:rPr>
          <w:rFonts w:ascii="Calibri" w:cs="Calibri" w:eastAsia="Calibri" w:hAnsi="Calibri"/>
          <w:b/>
          <w:bCs/>
          <w:color w:val="1F3A5F"/>
          <w:sz w:val="30"/>
          <w:szCs w:val="30"/>
        </w:rPr>
        <w:t xml:space="preserve">4. Technical challenges</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Technical challenges. Length: 3,098 of 4,000 characters.</w:t>
      </w:r>
    </w:p>
    <w:p>
      <w:pPr>
        <w:keepNext/>
        <w:widowControl/>
        <w:spacing w:after="140" w:before="0" w:line="276"/>
      </w:pPr>
      <w:r>
        <w:rPr>
          <w:rFonts w:ascii="Calibri" w:cs="Calibri" w:eastAsia="Calibri" w:hAnsi="Calibri"/>
          <w:sz w:val="22"/>
          <w:szCs w:val="22"/>
        </w:rPr>
        <w:t xml:space="preserve">We expect six technical challenges. The pilot gives an initial measure of each one.</w:t>
      </w:r>
    </w:p>
    <w:p>
      <w:pPr>
        <w:pStyle w:val="Heading2"/>
        <w:keepNext/>
        <w:spacing w:after="80" w:before="200"/>
      </w:pPr>
      <w:r>
        <w:rPr>
          <w:rFonts w:ascii="Calibri" w:cs="Calibri" w:eastAsia="Calibri" w:hAnsi="Calibri"/>
          <w:b/>
          <w:bCs/>
          <w:color w:val="1F3A5F"/>
          <w:sz w:val="24"/>
          <w:szCs w:val="24"/>
        </w:rPr>
        <w:t xml:space="preserve">4.1 Obfuscation and code shrinking</w:t>
      </w:r>
    </w:p>
    <w:p>
      <w:pPr>
        <w:keepNext w:val="false"/>
        <w:widowControl/>
        <w:spacing w:after="140" w:before="0" w:line="276"/>
      </w:pPr>
      <w:r>
        <w:rPr>
          <w:rFonts w:ascii="Calibri" w:cs="Calibri" w:eastAsia="Calibri" w:hAnsi="Calibri"/>
          <w:sz w:val="22"/>
          <w:szCs w:val="22"/>
        </w:rPr>
        <w:t xml:space="preserve">Release builds rename classes and remove unused code. Wermke et al. found obfuscation in 24.92% of about 1.7 million Google Play apps [5]. In our 42-app pilot, a median of 39.6% of third-party classes have obfuscated names. We compared our output with the declared dependencies of 9 apps (203 libraries).</w:t>
      </w:r>
    </w:p>
    <w:p>
      <w:pPr>
        <w:pStyle w:val="ListParagraph"/>
        <w:keepNext w:val="false"/>
        <w:numPr>
          <w:ilvl w:val="0"/>
          <w:numId w:val="2"/>
        </w:numPr>
        <w:spacing w:after="80" w:line="276"/>
      </w:pPr>
      <w:r>
        <w:rPr>
          <w:rFonts w:ascii="Calibri" w:cs="Calibri" w:eastAsia="Calibri" w:hAnsi="Calibri"/>
          <w:sz w:val="22"/>
          <w:szCs w:val="22"/>
        </w:rPr>
        <w:t xml:space="preserve">We found 51.7% with exact name and version, and 76.4% at least at vendor level.</w:t>
      </w:r>
    </w:p>
    <w:p>
      <w:pPr>
        <w:pStyle w:val="ListParagraph"/>
        <w:keepNext w:val="false"/>
        <w:numPr>
          <w:ilvl w:val="0"/>
          <w:numId w:val="2"/>
        </w:numPr>
        <w:spacing w:after="80" w:line="276"/>
      </w:pPr>
      <w:r>
        <w:rPr>
          <w:rFonts w:ascii="Calibri" w:cs="Calibri" w:eastAsia="Calibri" w:hAnsi="Calibri"/>
          <w:sz w:val="22"/>
          <w:szCs w:val="22"/>
        </w:rPr>
        <w:t xml:space="preserve">Most misses were small libraries renamed by R8, or Compose Multiplatform code stored under androidx.</w:t>
      </w:r>
    </w:p>
    <w:p>
      <w:pPr>
        <w:pStyle w:val="ListParagraph"/>
        <w:keepNext w:val="false"/>
        <w:numPr>
          <w:ilvl w:val="0"/>
          <w:numId w:val="2"/>
        </w:numPr>
        <w:spacing w:after="80" w:line="276"/>
      </w:pPr>
      <w:r>
        <w:rPr>
          <w:rFonts w:ascii="Calibri" w:cs="Calibri" w:eastAsia="Calibri" w:hAnsi="Calibri"/>
          <w:sz w:val="22"/>
          <w:szCs w:val="22"/>
        </w:rPr>
        <w:t xml:space="preserve">We had tuned our namespace table on one of the 9 apps. Without that app, the rates are 50.5% and 75.0%.</w:t>
      </w:r>
    </w:p>
    <w:p>
      <w:pPr>
        <w:keepNext/>
        <w:widowControl/>
        <w:spacing w:after="140" w:before="100" w:line="276"/>
      </w:pPr>
      <w:r>
        <w:rPr>
          <w:rFonts w:ascii="Calibri" w:cs="Calibri" w:eastAsia="Calibri" w:hAnsi="Calibri"/>
          <w:sz w:val="22"/>
          <w:szCs w:val="22"/>
        </w:rPr>
        <w:t xml:space="preserve">We will add fingerprints based on class and method structure, which survive renaming. We will report results on held-out apps only.</w:t>
      </w:r>
    </w:p>
    <w:p>
      <w:pPr>
        <w:pStyle w:val="Heading2"/>
        <w:keepNext/>
        <w:spacing w:after="80" w:before="200"/>
      </w:pPr>
      <w:r>
        <w:rPr>
          <w:rFonts w:ascii="Calibri" w:cs="Calibri" w:eastAsia="Calibri" w:hAnsi="Calibri"/>
          <w:b/>
          <w:bCs/>
          <w:color w:val="1F3A5F"/>
          <w:sz w:val="24"/>
          <w:szCs w:val="24"/>
        </w:rPr>
        <w:t xml:space="preserve">4.2 Ground truth</w:t>
      </w:r>
    </w:p>
    <w:p>
      <w:pPr>
        <w:keepNext w:val="false"/>
        <w:widowControl/>
        <w:spacing w:after="140" w:before="0" w:line="276"/>
      </w:pPr>
      <w:r>
        <w:rPr>
          <w:rFonts w:ascii="Calibri" w:cs="Calibri" w:eastAsia="Calibri" w:hAnsi="Calibri"/>
          <w:sz w:val="22"/>
          <w:szCs w:val="22"/>
        </w:rPr>
        <w:t xml:space="preserve">Recall needs the true list of dependencies. We take it from the source at the exact commit that F-Droid built. Gradle files and custom build helpers make this hard to extract. We will publish the 30-app ground truth, so others can test their tools.</w:t>
      </w:r>
    </w:p>
    <w:p>
      <w:pPr>
        <w:pStyle w:val="Heading2"/>
        <w:keepNext/>
        <w:spacing w:after="80" w:before="200"/>
      </w:pPr>
      <w:r>
        <w:rPr>
          <w:rFonts w:ascii="Calibri" w:cs="Calibri" w:eastAsia="Calibri" w:hAnsi="Calibri"/>
          <w:b/>
          <w:bCs/>
          <w:color w:val="1F3A5F"/>
          <w:sz w:val="24"/>
          <w:szCs w:val="24"/>
        </w:rPr>
        <w:t xml:space="preserve">4.3 Evidence quality</w:t>
      </w:r>
    </w:p>
    <w:p>
      <w:pPr>
        <w:keepNext w:val="false"/>
        <w:widowControl/>
        <w:spacing w:after="140" w:before="0" w:line="276"/>
      </w:pPr>
      <w:r>
        <w:rPr>
          <w:rFonts w:ascii="Calibri" w:cs="Calibri" w:eastAsia="Calibri" w:hAnsi="Calibri"/>
          <w:sz w:val="22"/>
          <w:szCs w:val="22"/>
        </w:rPr>
        <w:t xml:space="preserve">A string in the code does not prove that an app calls a service. One pilot app contains an Azure OpenAI host only because its SDK supports Azure. AI SDKs were easier to find. We found all 4 AI SDKs declared in the ground-truth apps, including one in an app with 98% obfuscated third-party code. Each SBOM entry will state its evidence type (version file, code namespace, string or native library). We report capability combinations and never label an app as risky. Many apps that combine these capabilities are legitimate, such as KDE Connect and RustDesk.</w:t>
      </w:r>
    </w:p>
    <w:p>
      <w:pPr>
        <w:pStyle w:val="Heading2"/>
        <w:keepNext/>
        <w:spacing w:after="80" w:before="200"/>
      </w:pPr>
      <w:r>
        <w:rPr>
          <w:rFonts w:ascii="Calibri" w:cs="Calibri" w:eastAsia="Calibri" w:hAnsi="Calibri"/>
          <w:b/>
          <w:bCs/>
          <w:color w:val="1F3A5F"/>
          <w:sz w:val="24"/>
          <w:szCs w:val="24"/>
        </w:rPr>
        <w:t xml:space="preserve">4.4 Standard representation</w:t>
      </w:r>
    </w:p>
    <w:p>
      <w:pPr>
        <w:keepNext w:val="false"/>
        <w:widowControl/>
        <w:spacing w:after="140" w:before="0" w:line="276"/>
      </w:pPr>
      <w:r>
        <w:rPr>
          <w:rFonts w:ascii="Calibri" w:cs="Calibri" w:eastAsia="Calibri" w:hAnsi="Calibri"/>
          <w:sz w:val="22"/>
          <w:szCs w:val="22"/>
        </w:rPr>
        <w:t xml:space="preserve">We found no purl type for Android apps. The apk type refers to Alpine Linux packages. Until a type exists, we use the generic type with the download URL and SHA-256 hash. All 306 pilot SBOMs pass schema validation for CycloneDX 1.6. A control SBOM with an unknown field fails, as expected.</w:t>
      </w:r>
    </w:p>
    <w:p>
      <w:pPr>
        <w:pStyle w:val="Heading2"/>
        <w:keepNext/>
        <w:spacing w:after="80" w:before="200"/>
      </w:pPr>
      <w:r>
        <w:rPr>
          <w:rFonts w:ascii="Calibri" w:cs="Calibri" w:eastAsia="Calibri" w:hAnsi="Calibri"/>
          <w:b/>
          <w:bCs/>
          <w:color w:val="1F3A5F"/>
          <w:sz w:val="24"/>
          <w:szCs w:val="24"/>
        </w:rPr>
        <w:t xml:space="preserve">4.5 Tracking changes across versions</w:t>
      </w:r>
    </w:p>
    <w:p>
      <w:pPr>
        <w:keepNext w:val="false"/>
        <w:widowControl/>
        <w:spacing w:after="140" w:before="0" w:line="276"/>
      </w:pPr>
      <w:r>
        <w:rPr>
          <w:rFonts w:ascii="Calibri" w:cs="Calibri" w:eastAsia="Calibri" w:hAnsi="Calibri"/>
          <w:sz w:val="22"/>
          <w:szCs w:val="22"/>
        </w:rPr>
        <w:t xml:space="preserve">Many F-Droid apps keep older versions. We compared 471 updates of 121 apps.</w:t>
      </w:r>
    </w:p>
    <w:p>
      <w:pPr>
        <w:pStyle w:val="ListParagraph"/>
        <w:keepNext w:val="false"/>
        <w:numPr>
          <w:ilvl w:val="0"/>
          <w:numId w:val="2"/>
        </w:numPr>
        <w:spacing w:after="80" w:line="276"/>
      </w:pPr>
      <w:r>
        <w:rPr>
          <w:rFonts w:ascii="Calibri" w:cs="Calibri" w:eastAsia="Calibri" w:hAnsi="Calibri"/>
          <w:sz w:val="22"/>
          <w:szCs w:val="22"/>
        </w:rPr>
        <w:t xml:space="preserve">134 updates (28.5%) changed at least one Maven library. This is a lower bound, because we count only libraries with version files.</w:t>
      </w:r>
    </w:p>
    <w:p>
      <w:pPr>
        <w:pStyle w:val="ListParagraph"/>
        <w:keepNext w:val="false"/>
        <w:numPr>
          <w:ilvl w:val="0"/>
          <w:numId w:val="2"/>
        </w:numPr>
        <w:spacing w:after="80" w:line="276"/>
      </w:pPr>
      <w:r>
        <w:rPr>
          <w:rFonts w:ascii="Calibri" w:cs="Calibri" w:eastAsia="Calibri" w:hAnsi="Calibri"/>
          <w:sz w:val="22"/>
          <w:szCs w:val="22"/>
        </w:rPr>
        <w:t xml:space="preserve">16 updates added a sensitive capability. Half of them (8) added an AI endpoint. None appeared in the index, and 2 of the 16 changelogs mentioned it in free text. These apps were chosen for such capabilities. In 105 updates of randomly drawn apps, none added one.</w:t>
      </w:r>
    </w:p>
    <w:p>
      <w:pPr>
        <w:pStyle w:val="ListParagraph"/>
        <w:keepNext w:val="false"/>
        <w:numPr>
          <w:ilvl w:val="0"/>
          <w:numId w:val="2"/>
        </w:numPr>
        <w:spacing w:after="80" w:line="276"/>
      </w:pPr>
      <w:r>
        <w:rPr>
          <w:rFonts w:ascii="Calibri" w:cs="Calibri" w:eastAsia="Calibri" w:hAnsi="Calibri"/>
          <w:sz w:val="22"/>
          <w:szCs w:val="22"/>
        </w:rPr>
        <w:t xml:space="preserve">3 updates changed the signing key. This can be legitimate, so we report it without judgement.</w:t>
      </w:r>
    </w:p>
    <w:p>
      <w:pPr>
        <w:keepNext/>
        <w:widowControl/>
        <w:spacing w:after="140" w:before="100" w:line="276"/>
      </w:pPr>
      <w:r>
        <w:rPr>
          <w:rFonts w:ascii="Calibri" w:cs="Calibri" w:eastAsia="Calibri" w:hAnsi="Calibri"/>
          <w:sz w:val="22"/>
          <w:szCs w:val="22"/>
        </w:rPr>
        <w:t xml:space="preserve">An update can span several versions, when F-Droid did not keep the ones in between. We will record this gap.</w:t>
      </w:r>
    </w:p>
    <w:p>
      <w:pPr>
        <w:pStyle w:val="Heading2"/>
        <w:keepNext/>
        <w:spacing w:after="80" w:before="200"/>
      </w:pPr>
      <w:r>
        <w:rPr>
          <w:rFonts w:ascii="Calibri" w:cs="Calibri" w:eastAsia="Calibri" w:hAnsi="Calibri"/>
          <w:b/>
          <w:bCs/>
          <w:color w:val="1F3A5F"/>
          <w:sz w:val="24"/>
          <w:szCs w:val="24"/>
        </w:rPr>
        <w:t xml:space="preserve">4.6 Scale and limits</w:t>
      </w:r>
    </w:p>
    <w:p>
      <w:pPr>
        <w:keepNext w:val="false"/>
        <w:widowControl/>
        <w:spacing w:after="140" w:before="0" w:line="276"/>
      </w:pPr>
      <w:r>
        <w:rPr>
          <w:rFonts w:ascii="Calibri" w:cs="Calibri" w:eastAsia="Calibri" w:hAnsi="Calibri"/>
          <w:sz w:val="22"/>
          <w:szCs w:val="22"/>
        </w:rPr>
        <w:t xml:space="preserve">All 4,766 latest F-Droid APKs total 86.1 GB, which one machine processes in a few hours. Static analysis does not see code downloaded at runtime or behaviour inside native libraries. An SBOM records what a package contains and declares. It does not detect malicious behaviour.</w:t>
      </w:r>
    </w:p>
    <w:p>
      <w:pPr>
        <w:keepNext/>
        <w:spacing w:after="60" w:before="160"/>
      </w:pPr>
      <w:r>
        <w:rPr>
          <w:rFonts w:ascii="Calibri" w:cs="Calibri" w:eastAsia="Calibri" w:hAnsi="Calibri"/>
          <w:b/>
          <w:bCs/>
          <w:color w:val="6B7280"/>
          <w:sz w:val="20"/>
          <w:szCs w:val="20"/>
        </w:rPr>
        <w:t xml:space="preserve">References</w:t>
      </w:r>
    </w:p>
    <w:p>
      <w:pPr>
        <w:keepNext w:val="false"/>
        <w:widowControl/>
        <w:spacing w:after="40"/>
        <w:rPr>
          <w:color w:val="374151"/>
          <w:sz w:val="19"/>
          <w:szCs w:val="19"/>
        </w:rPr>
      </w:pPr>
      <w:r>
        <w:rPr>
          <w:rFonts w:ascii="Calibri" w:cs="Calibri" w:eastAsia="Calibri" w:hAnsi="Calibri"/>
          <w:color w:val="374151"/>
          <w:sz w:val="19"/>
          <w:szCs w:val="19"/>
        </w:rPr>
        <w:t xml:space="preserve">[5] Wermke et al., ACSAC 2018. doi:10.1145/3274694.3274726</w:t>
      </w:r>
    </w:p>
    <w:p>
      <w:pPr>
        <w:pStyle w:val="Heading1"/>
        <w:keepNext/>
        <w:keepLines/>
        <w:spacing w:after="60" w:before="360"/>
      </w:pPr>
      <w:r>
        <w:rPr>
          <w:rFonts w:ascii="Calibri" w:cs="Calibri" w:eastAsia="Calibri" w:hAnsi="Calibri"/>
          <w:b/>
          <w:bCs/>
          <w:color w:val="1F3A5F"/>
          <w:sz w:val="30"/>
          <w:szCs w:val="30"/>
        </w:rPr>
        <w:t xml:space="preserve">5. Ecosystem and users</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Ecosystem. Length: 1,420 of 2,000 characters.</w:t>
      </w:r>
    </w:p>
    <w:p>
      <w:pPr>
        <w:keepNext w:val="false"/>
        <w:widowControl/>
        <w:spacing w:after="140" w:before="0" w:line="276"/>
      </w:pPr>
      <w:r>
        <w:rPr>
          <w:rFonts w:ascii="Calibri" w:cs="Calibri" w:eastAsia="Calibri" w:hAnsi="Calibri"/>
          <w:sz w:val="22"/>
          <w:szCs w:val="22"/>
        </w:rPr>
        <w:t xml:space="preserve">Attacks on software supply chains are well documented. Ladisa et al. describe 107 attack vectors linked to 94 real incidents [6]. Android apps are part of this chain. We start with F-Droid, because its apps are open source and its APKs can be redistributed. This lets us build a ground truth from source code and publish all data.</w:t>
      </w:r>
    </w:p>
    <w:p>
      <w:pPr>
        <w:pStyle w:val="Heading2"/>
        <w:keepNext/>
        <w:spacing w:after="80" w:before="200"/>
      </w:pPr>
      <w:r>
        <w:rPr>
          <w:rFonts w:ascii="Calibri" w:cs="Calibri" w:eastAsia="Calibri" w:hAnsi="Calibri"/>
          <w:b/>
          <w:bCs/>
          <w:color w:val="1F3A5F"/>
          <w:sz w:val="24"/>
          <w:szCs w:val="24"/>
        </w:rPr>
        <w:t xml:space="preserve">Dependencies</w:t>
      </w:r>
    </w:p>
    <w:p>
      <w:pPr>
        <w:keepNext w:val="false"/>
        <w:widowControl/>
        <w:spacing w:after="140" w:before="0" w:line="276"/>
      </w:pPr>
      <w:r>
        <w:rPr>
          <w:rFonts w:ascii="Calibri" w:cs="Calibri" w:eastAsia="Calibri" w:hAnsi="Calibri"/>
          <w:sz w:val="22"/>
          <w:szCs w:val="22"/>
        </w:rPr>
        <w:t xml:space="preserve">We build on the F-Droid index, Androguard, CycloneDX and cyclonedx-cli, Maven Central metadata and the Exodus tracker signatures. We report bugs we find in these projects upstream.</w:t>
      </w:r>
    </w:p>
    <w:p>
      <w:pPr>
        <w:pStyle w:val="Heading2"/>
        <w:keepNext/>
        <w:spacing w:after="80" w:before="200"/>
      </w:pPr>
      <w:r>
        <w:rPr>
          <w:rFonts w:ascii="Calibri" w:cs="Calibri" w:eastAsia="Calibri" w:hAnsi="Calibri"/>
          <w:b/>
          <w:bCs/>
          <w:color w:val="1F3A5F"/>
          <w:sz w:val="24"/>
          <w:szCs w:val="24"/>
        </w:rPr>
        <w:t xml:space="preserve">Main users</w:t>
      </w:r>
    </w:p>
    <w:p>
      <w:pPr>
        <w:pStyle w:val="ListParagraph"/>
        <w:keepNext w:val="false"/>
        <w:numPr>
          <w:ilvl w:val="0"/>
          <w:numId w:val="2"/>
        </w:numPr>
        <w:spacing w:after="80" w:line="276"/>
      </w:pPr>
      <w:r>
        <w:rPr>
          <w:rFonts w:ascii="Calibri" w:cs="Calibri" w:eastAsia="Calibri" w:hAnsi="Calibri"/>
          <w:sz w:val="22"/>
          <w:szCs w:val="22"/>
        </w:rPr>
        <w:t xml:space="preserve">F-Droid users and maintainers, who see what an app contains and what an update changes.</w:t>
      </w:r>
    </w:p>
    <w:p>
      <w:pPr>
        <w:pStyle w:val="ListParagraph"/>
        <w:keepNext w:val="false"/>
        <w:numPr>
          <w:ilvl w:val="0"/>
          <w:numId w:val="2"/>
        </w:numPr>
        <w:spacing w:after="80" w:line="276"/>
      </w:pPr>
      <w:r>
        <w:rPr>
          <w:rFonts w:ascii="Calibri" w:cs="Calibri" w:eastAsia="Calibri" w:hAnsi="Calibri"/>
          <w:sz w:val="22"/>
          <w:szCs w:val="22"/>
        </w:rPr>
        <w:t xml:space="preserve">Other F-Droid repositories, which can run the tool on their own catalogue.</w:t>
      </w:r>
    </w:p>
    <w:p>
      <w:pPr>
        <w:pStyle w:val="ListParagraph"/>
        <w:keepNext w:val="false"/>
        <w:numPr>
          <w:ilvl w:val="0"/>
          <w:numId w:val="2"/>
        </w:numPr>
        <w:spacing w:after="80" w:line="276"/>
      </w:pPr>
      <w:r>
        <w:rPr>
          <w:rFonts w:ascii="Calibri" w:cs="Calibri" w:eastAsia="Calibri" w:hAnsi="Calibri"/>
          <w:sz w:val="22"/>
          <w:szCs w:val="22"/>
        </w:rPr>
        <w:t xml:space="preserve">Organisations that manage device fleets and need to find apps that can control the screen.</w:t>
      </w:r>
    </w:p>
    <w:p>
      <w:pPr>
        <w:pStyle w:val="ListParagraph"/>
        <w:keepNext w:val="false"/>
        <w:numPr>
          <w:ilvl w:val="0"/>
          <w:numId w:val="2"/>
        </w:numPr>
        <w:spacing w:after="80" w:line="276"/>
      </w:pPr>
      <w:r>
        <w:rPr>
          <w:rFonts w:ascii="Calibri" w:cs="Calibri" w:eastAsia="Calibri" w:hAnsi="Calibri"/>
          <w:sz w:val="22"/>
          <w:szCs w:val="22"/>
        </w:rPr>
        <w:t xml:space="preserve">Security researchers and the CodeSupply catalogue, which gain an open and versioned dataset.</w:t>
      </w:r>
    </w:p>
    <w:p>
      <w:pPr>
        <w:pStyle w:val="Heading2"/>
        <w:keepNext/>
        <w:spacing w:after="80" w:before="200"/>
      </w:pPr>
      <w:r>
        <w:rPr>
          <w:rFonts w:ascii="Calibri" w:cs="Calibri" w:eastAsia="Calibri" w:hAnsi="Calibri"/>
          <w:b/>
          <w:bCs/>
          <w:color w:val="1F3A5F"/>
          <w:sz w:val="24"/>
          <w:szCs w:val="24"/>
        </w:rPr>
        <w:t xml:space="preserve">Engagement and sustainability</w:t>
      </w:r>
    </w:p>
    <w:p>
      <w:pPr>
        <w:pStyle w:val="ListParagraph"/>
        <w:keepNext w:val="false"/>
        <w:numPr>
          <w:ilvl w:val="0"/>
          <w:numId w:val="2"/>
        </w:numPr>
        <w:spacing w:after="80" w:line="276"/>
      </w:pPr>
      <w:r>
        <w:rPr>
          <w:rFonts w:ascii="Calibri" w:cs="Calibri" w:eastAsia="Calibri" w:hAnsi="Calibri"/>
          <w:sz w:val="22"/>
          <w:szCs w:val="22"/>
        </w:rPr>
        <w:t xml:space="preserve">We contact F-Droid, IzzyOnDroid, Exodus Privacy and the CodeSupply consortium in month 1.</w:t>
      </w:r>
    </w:p>
    <w:p>
      <w:pPr>
        <w:pStyle w:val="ListParagraph"/>
        <w:keepNext w:val="false"/>
        <w:numPr>
          <w:ilvl w:val="0"/>
          <w:numId w:val="2"/>
        </w:numPr>
        <w:spacing w:after="80" w:line="276"/>
      </w:pPr>
      <w:r>
        <w:rPr>
          <w:rFonts w:ascii="Calibri" w:cs="Calibri" w:eastAsia="Calibri" w:hAnsi="Calibri"/>
          <w:sz w:val="22"/>
          <w:szCs w:val="22"/>
        </w:rPr>
        <w:t xml:space="preserve">We submit our capability properties to CycloneDX and a purl type proposal to the purl specification.</w:t>
      </w:r>
    </w:p>
    <w:p>
      <w:pPr>
        <w:pStyle w:val="ListParagraph"/>
        <w:keepNext w:val="false"/>
        <w:numPr>
          <w:ilvl w:val="0"/>
          <w:numId w:val="2"/>
        </w:numPr>
        <w:spacing w:after="80" w:line="276"/>
      </w:pPr>
      <w:r>
        <w:rPr>
          <w:rFonts w:ascii="Calibri" w:cs="Calibri" w:eastAsia="Calibri" w:hAnsi="Calibri"/>
          <w:sz w:val="22"/>
          <w:szCs w:val="22"/>
        </w:rPr>
        <w:t xml:space="preserve">We release the code under Apache-2.0 and the data under CC0-1.0.</w:t>
      </w:r>
    </w:p>
    <w:p>
      <w:pPr>
        <w:pStyle w:val="ListParagraph"/>
        <w:keepNext/>
        <w:numPr>
          <w:ilvl w:val="0"/>
          <w:numId w:val="2"/>
        </w:numPr>
        <w:spacing w:after="80" w:line="276"/>
      </w:pPr>
      <w:r>
        <w:rPr>
          <w:rFonts w:ascii="Calibri" w:cs="Calibri" w:eastAsia="Calibri" w:hAnsi="Calibri"/>
          <w:sz w:val="22"/>
          <w:szCs w:val="22"/>
        </w:rPr>
        <w:t xml:space="preserve">After the grant, the job processes new releases only and needs little computing. We document it so that F-Droid, the CodeSupply partners or we can keep it running.</w:t>
      </w:r>
    </w:p>
    <w:p>
      <w:pPr>
        <w:keepNext/>
        <w:spacing w:after="60" w:before="160"/>
      </w:pPr>
      <w:r>
        <w:rPr>
          <w:rFonts w:ascii="Calibri" w:cs="Calibri" w:eastAsia="Calibri" w:hAnsi="Calibri"/>
          <w:b/>
          <w:bCs/>
          <w:color w:val="6B7280"/>
          <w:sz w:val="20"/>
          <w:szCs w:val="20"/>
        </w:rPr>
        <w:t xml:space="preserve">References</w:t>
      </w:r>
    </w:p>
    <w:p>
      <w:pPr>
        <w:keepNext w:val="false"/>
        <w:widowControl/>
        <w:spacing w:after="40"/>
        <w:rPr>
          <w:color w:val="374151"/>
          <w:sz w:val="19"/>
          <w:szCs w:val="19"/>
        </w:rPr>
      </w:pPr>
      <w:r>
        <w:rPr>
          <w:rFonts w:ascii="Calibri" w:cs="Calibri" w:eastAsia="Calibri" w:hAnsi="Calibri"/>
          <w:color w:val="374151"/>
          <w:sz w:val="19"/>
          <w:szCs w:val="19"/>
        </w:rPr>
        <w:t xml:space="preserve">[6] Ladisa et al., IEEE S&amp;P 2023. doi:10.1109/SP46215.2023.00010</w:t>
      </w:r>
    </w:p>
    <w:p>
      <w:pPr>
        <w:pStyle w:val="Heading1"/>
        <w:keepNext/>
        <w:keepLines/>
        <w:spacing w:after="60" w:before="360"/>
      </w:pPr>
      <w:r>
        <w:rPr>
          <w:rFonts w:ascii="Calibri" w:cs="Calibri" w:eastAsia="Calibri" w:hAnsi="Calibri"/>
          <w:b/>
          <w:bCs/>
          <w:color w:val="1F3A5F"/>
          <w:sz w:val="30"/>
          <w:szCs w:val="30"/>
        </w:rPr>
        <w:t xml:space="preserve">6. Background and experience</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Background. Length: 1,485 of 2,000 characters.</w:t>
      </w:r>
    </w:p>
    <w:p>
      <w:pPr>
        <w:keepNext w:val="false"/>
        <w:widowControl/>
        <w:spacing w:after="140" w:before="0" w:line="276"/>
      </w:pPr>
      <w:r>
        <w:rPr>
          <w:rFonts w:ascii="Calibri" w:cs="Calibri" w:eastAsia="Calibri" w:hAnsi="Calibri"/>
          <w:sz w:val="22"/>
          <w:szCs w:val="22"/>
        </w:rPr>
        <w:t xml:space="preserve">The project lead is a doctoral researcher at the Interdisciplinary Centre for Security, Reliability and Trust (SnT), University of Luxembourg, in the TruX research group. The thesis studies how large language models can improve Android security. Prof. Tegawendé F. Bissyandé and Dr. Jordan Samhi supervise it. The PhD is a joint degree with Université Joseph Ki-Zerbo in Burkina Faso.</w:t>
      </w:r>
    </w:p>
    <w:p>
      <w:pPr>
        <w:pStyle w:val="Heading2"/>
        <w:keepNext/>
        <w:spacing w:after="80" w:before="200"/>
      </w:pPr>
      <w:r>
        <w:rPr>
          <w:rFonts w:ascii="Calibri" w:cs="Calibri" w:eastAsia="Calibri" w:hAnsi="Calibri"/>
          <w:b/>
          <w:bCs/>
          <w:color w:val="1F3A5F"/>
          <w:sz w:val="24"/>
          <w:szCs w:val="24"/>
        </w:rPr>
        <w:t xml:space="preserve">Relevant work</w:t>
      </w:r>
    </w:p>
    <w:p>
      <w:pPr>
        <w:pStyle w:val="ListParagraph"/>
        <w:keepNext w:val="false"/>
        <w:numPr>
          <w:ilvl w:val="0"/>
          <w:numId w:val="2"/>
        </w:numPr>
        <w:spacing w:after="80" w:line="276"/>
      </w:pPr>
      <w:r>
        <w:rPr>
          <w:rFonts w:ascii="Calibri" w:cs="Calibri" w:eastAsia="Calibri" w:hAnsi="Calibri"/>
          <w:sz w:val="22"/>
          <w:szCs w:val="22"/>
        </w:rPr>
        <w:t xml:space="preserve">A study of model-driven accessibility abuse on Android. We built the attack and a benign assistant, and recorded 83 traces on an emulator and a Pixel 6. This study motivated the present project. The attack needs capabilities that an app must declare in its package. Public metadata does not record them.</w:t>
      </w:r>
    </w:p>
    <w:p>
      <w:pPr>
        <w:pStyle w:val="ListParagraph"/>
        <w:keepNext w:val="false"/>
        <w:numPr>
          <w:ilvl w:val="0"/>
          <w:numId w:val="2"/>
        </w:numPr>
        <w:spacing w:after="80" w:line="276"/>
      </w:pPr>
      <w:r>
        <w:rPr>
          <w:rFonts w:ascii="Calibri" w:cs="Calibri" w:eastAsia="Calibri" w:hAnsi="Calibri"/>
          <w:sz w:val="22"/>
          <w:szCs w:val="22"/>
        </w:rPr>
        <w:t xml:space="preserve">A study of how language models read obfuscated Java code. Obfuscation is the main obstacle to library detection in this project.</w:t>
      </w:r>
    </w:p>
    <w:p>
      <w:pPr>
        <w:pStyle w:val="ListParagraph"/>
        <w:keepNext w:val="false"/>
        <w:numPr>
          <w:ilvl w:val="0"/>
          <w:numId w:val="2"/>
        </w:numPr>
        <w:spacing w:after="80" w:line="276"/>
      </w:pPr>
      <w:r>
        <w:rPr>
          <w:rFonts w:ascii="Calibri" w:cs="Calibri" w:eastAsia="Calibri" w:hAnsi="Calibri"/>
          <w:sz w:val="22"/>
          <w:szCs w:val="22"/>
        </w:rPr>
        <w:t xml:space="preserve">The pilot for this proposal. It includes a static scanner, library extraction checked against source code, 306 schema-valid SBOMs and a comparison of 471 app updates.</w:t>
      </w:r>
    </w:p>
    <w:p>
      <w:pPr>
        <w:keepNext w:val="false"/>
        <w:widowControl/>
        <w:spacing w:after="140" w:before="100" w:line="276"/>
      </w:pPr>
      <w:r>
        <w:rPr>
          <w:rFonts w:ascii="Calibri" w:cs="Calibri" w:eastAsia="Calibri" w:hAnsi="Calibri"/>
          <w:sz w:val="22"/>
          <w:szCs w:val="22"/>
        </w:rPr>
        <w:t xml:space="preserve">The TruX group created AndroZoo, a collection of millions of Android apps for research [7]. It lets us test the tool on apps from outside F-Droid.</w:t>
      </w:r>
    </w:p>
    <w:p>
      <w:pPr>
        <w:keepNext w:val="false"/>
        <w:widowControl/>
        <w:spacing w:after="140" w:before="0" w:line="276"/>
      </w:pPr>
      <w:r>
        <w:rPr>
          <w:rFonts w:ascii="Calibri" w:cs="Calibri" w:eastAsia="Calibri" w:hAnsi="Calibri"/>
          <w:sz w:val="22"/>
          <w:szCs w:val="22"/>
        </w:rPr>
        <w:t xml:space="preserve">The project lead programs mainly in Python and Java, the two languages of this pipeline. The project lead also teaches cybersecurity, penetration testing and AI at ISGE-BF in Burkina Faso. We will write the user guide (T6) so that students can use it.</w:t>
      </w:r>
    </w:p>
    <w:p>
      <w:pPr>
        <w:keepNext/>
        <w:spacing w:after="60" w:before="160"/>
      </w:pPr>
      <w:r>
        <w:rPr>
          <w:rFonts w:ascii="Calibri" w:cs="Calibri" w:eastAsia="Calibri" w:hAnsi="Calibri"/>
          <w:b/>
          <w:bCs/>
          <w:color w:val="6B7280"/>
          <w:sz w:val="20"/>
          <w:szCs w:val="20"/>
        </w:rPr>
        <w:t xml:space="preserve">References</w:t>
      </w:r>
    </w:p>
    <w:p>
      <w:pPr>
        <w:keepNext w:val="false"/>
        <w:widowControl/>
        <w:spacing w:after="40"/>
        <w:rPr>
          <w:color w:val="374151"/>
          <w:sz w:val="19"/>
          <w:szCs w:val="19"/>
        </w:rPr>
      </w:pPr>
      <w:r>
        <w:rPr>
          <w:rFonts w:ascii="Calibri" w:cs="Calibri" w:eastAsia="Calibri" w:hAnsi="Calibri"/>
          <w:color w:val="374151"/>
          <w:sz w:val="19"/>
          <w:szCs w:val="19"/>
        </w:rPr>
        <w:t xml:space="preserve">[7] Allix, Bissyandé, Klein, Le Traon, MSR 2016. doi:10.1145/2901739.2903508</w:t>
      </w:r>
    </w:p>
    <w:p>
      <w:pPr>
        <w:pStyle w:val="Heading1"/>
        <w:keepNext/>
        <w:keepLines/>
        <w:spacing w:after="60" w:before="360"/>
      </w:pPr>
      <w:r>
        <w:rPr>
          <w:rFonts w:ascii="Calibri" w:cs="Calibri" w:eastAsia="Calibri" w:hAnsi="Calibri"/>
          <w:b/>
          <w:bCs/>
          <w:color w:val="1F3A5F"/>
          <w:sz w:val="30"/>
          <w:szCs w:val="30"/>
        </w:rPr>
        <w:t xml:space="preserve">7. Other funding</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Other funding. Length: 190 of 1,000 characters.</w:t>
      </w:r>
    </w:p>
    <w:p>
      <w:pPr>
        <w:keepNext w:val="false"/>
        <w:widowControl/>
        <w:spacing w:after="140" w:before="0" w:line="276"/>
      </w:pPr>
      <w:r>
        <w:rPr>
          <w:rFonts w:ascii="Calibri" w:cs="Calibri" w:eastAsia="Calibri" w:hAnsi="Calibri"/>
          <w:sz w:val="22"/>
          <w:szCs w:val="22"/>
        </w:rPr>
        <w:t xml:space="preserve">This project has no other funding. The tasks in this proposal are new work, and no other source pays for them. No part of this budget pays for work that is already done, including the pilot.</w:t>
      </w:r>
    </w:p>
    <w:p>
      <w:pPr>
        <w:pStyle w:val="Heading1"/>
        <w:keepNext/>
        <w:keepLines/>
        <w:spacing w:after="60" w:before="360"/>
      </w:pPr>
      <w:r>
        <w:rPr>
          <w:rFonts w:ascii="Calibri" w:cs="Calibri" w:eastAsia="Calibri" w:hAnsi="Calibri"/>
          <w:b/>
          <w:bCs/>
          <w:color w:val="1F3A5F"/>
          <w:sz w:val="30"/>
          <w:szCs w:val="30"/>
        </w:rPr>
        <w:t xml:space="preserve">8. Attachments</w:t>
      </w:r>
    </w:p>
    <w:p>
      <w:pPr>
        <w:keepNext/>
        <w:widowControl/>
        <w:spacing w:after="160"/>
        <w:rPr>
          <w:i/>
          <w:iCs/>
          <w:color w:val="6B7280"/>
          <w:sz w:val="18"/>
          <w:szCs w:val="18"/>
        </w:rPr>
      </w:pPr>
      <w:r>
        <w:rPr>
          <w:rFonts w:ascii="Calibri" w:cs="Calibri" w:eastAsia="Calibri" w:hAnsi="Calibri"/>
          <w:i/>
          <w:iCs/>
          <w:color w:val="6B7280"/>
          <w:sz w:val="18"/>
          <w:szCs w:val="18"/>
        </w:rPr>
        <w:t xml:space="preserve">Form field: Attachments (optional).</w:t>
      </w:r>
    </w:p>
    <w:p>
      <w:pPr>
        <w:pStyle w:val="ListParagraph"/>
        <w:keepNext w:val="false"/>
        <w:numPr>
          <w:ilvl w:val="0"/>
          <w:numId w:val="2"/>
        </w:numPr>
        <w:spacing w:after="80" w:line="276"/>
      </w:pPr>
      <w:r>
        <w:rPr>
          <w:rFonts w:ascii="Calibri" w:cs="Calibri" w:eastAsia="Calibri" w:hAnsi="Calibri"/>
          <w:sz w:val="22"/>
          <w:szCs w:val="22"/>
        </w:rPr>
        <w:t xml:space="preserve">Pilot report with the setup, the sample, the results of six experiments and their limits (PDF).</w:t>
      </w:r>
    </w:p>
    <w:p>
      <w:pPr>
        <w:pStyle w:val="ListParagraph"/>
        <w:keepNext w:val="false"/>
        <w:numPr>
          <w:ilvl w:val="0"/>
          <w:numId w:val="2"/>
        </w:numPr>
        <w:spacing w:after="80" w:line="276"/>
      </w:pPr>
      <w:r>
        <w:rPr>
          <w:rFonts w:ascii="Calibri" w:cs="Calibri" w:eastAsia="Calibri" w:hAnsi="Calibri"/>
          <w:sz w:val="22"/>
          <w:szCs w:val="22"/>
        </w:rPr>
        <w:t xml:space="preserve">Five example SBOMs in CycloneDX 1.6 JSON, with their validation output.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Open SBOMs for Android Apps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SBOMs for Android Apps</dc:title>
  <dc:creator>Béninwendé Serge Lionel Nikiema</dc:creator>
  <cp:lastModifiedBy>Un-named</cp:lastModifiedBy>
  <cp:revision>1</cp:revision>
  <dcterms:created xsi:type="dcterms:W3CDTF">2026-10-26T12:58:29.908Z</dcterms:created>
  <dcterms:modified xsi:type="dcterms:W3CDTF">2026-10-26T12:58:29.908Z</dcterms:modified>
</cp:coreProperties>
</file>

<file path=docProps/custom.xml><?xml version="1.0" encoding="utf-8"?>
<Properties xmlns="http://schemas.openxmlformats.org/officeDocument/2006/custom-properties" xmlns:vt="http://schemas.openxmlformats.org/officeDocument/2006/docPropsVTypes"/>
</file>