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BFD9A"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La </w:t>
      </w:r>
      <w:r w:rsidRPr="00713BDA">
        <w:rPr>
          <w:rFonts w:ascii="Georgia" w:eastAsia="Times New Roman" w:hAnsi="Georgia" w:cs="Times New Roman"/>
          <w:b/>
          <w:bCs/>
          <w:color w:val="555555"/>
          <w:sz w:val="24"/>
          <w:szCs w:val="24"/>
          <w:lang w:eastAsia="es-EC"/>
        </w:rPr>
        <w:t>Fórmula Polinómica</w:t>
      </w:r>
      <w:r w:rsidRPr="00713BDA">
        <w:rPr>
          <w:rFonts w:ascii="Georgia" w:eastAsia="Times New Roman" w:hAnsi="Georgia" w:cs="Times New Roman"/>
          <w:color w:val="555555"/>
          <w:sz w:val="24"/>
          <w:szCs w:val="24"/>
          <w:lang w:eastAsia="es-EC"/>
        </w:rPr>
        <w:t> es la representación matemática de la estructura de costos directos de un presupuesto. Constituido por términos denominados monomios que consideran la participación o incidencia de los recursos dentro del costo directo total de la obra.</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Constituye un procedimiento de cálculo para obtener el valor de los incrementos (o decrementos) de costos que experimentan los presupuestos de obra en el tiempo:</w:t>
      </w:r>
      <w:r w:rsidRPr="00713BDA">
        <w:rPr>
          <w:rFonts w:ascii="Georgia" w:eastAsia="Times New Roman" w:hAnsi="Georgia" w:cs="Times New Roman"/>
          <w:b/>
          <w:bCs/>
          <w:color w:val="555555"/>
          <w:sz w:val="24"/>
          <w:szCs w:val="24"/>
          <w:lang w:eastAsia="es-EC"/>
        </w:rPr>
        <w:t> reajustes de precios</w:t>
      </w:r>
      <w:r w:rsidRPr="00713BDA">
        <w:rPr>
          <w:rFonts w:ascii="Georgia" w:eastAsia="Times New Roman" w:hAnsi="Georgia" w:cs="Times New Roman"/>
          <w:color w:val="555555"/>
          <w:sz w:val="24"/>
          <w:szCs w:val="24"/>
          <w:lang w:eastAsia="es-EC"/>
        </w:rPr>
        <w:t>.</w:t>
      </w:r>
    </w:p>
    <w:p w14:paraId="412CE7B8" w14:textId="77777777" w:rsidR="00713BDA" w:rsidRPr="00713BDA" w:rsidRDefault="00713BDA" w:rsidP="00713BDA">
      <w:pPr>
        <w:shd w:val="clear" w:color="auto" w:fill="E8A60D"/>
        <w:spacing w:before="150" w:after="150" w:line="420" w:lineRule="atLeast"/>
        <w:outlineLvl w:val="3"/>
        <w:rPr>
          <w:rFonts w:ascii="Montserrat" w:eastAsia="Times New Roman" w:hAnsi="Montserrat" w:cs="Times New Roman"/>
          <w:color w:val="222222"/>
          <w:sz w:val="27"/>
          <w:szCs w:val="27"/>
          <w:lang w:eastAsia="es-EC"/>
        </w:rPr>
      </w:pPr>
      <w:r w:rsidRPr="00713BDA">
        <w:rPr>
          <w:rFonts w:ascii="Georgia" w:eastAsia="Times New Roman" w:hAnsi="Georgia" w:cs="Times New Roman"/>
          <w:b/>
          <w:bCs/>
          <w:color w:val="222222"/>
          <w:sz w:val="24"/>
          <w:szCs w:val="24"/>
          <w:lang w:eastAsia="es-EC"/>
        </w:rPr>
        <w:t>Fórmula Polinómica – Modelo matemático en Ecuador</w:t>
      </w:r>
    </w:p>
    <w:p w14:paraId="72C25176"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b/>
          <w:bCs/>
          <w:color w:val="555555"/>
          <w:sz w:val="24"/>
          <w:szCs w:val="24"/>
          <w:lang w:eastAsia="es-EC"/>
        </w:rPr>
        <w:t xml:space="preserve">Pr = </w:t>
      </w:r>
      <w:proofErr w:type="gramStart"/>
      <w:r w:rsidRPr="00713BDA">
        <w:rPr>
          <w:rFonts w:ascii="Georgia" w:eastAsia="Times New Roman" w:hAnsi="Georgia" w:cs="Times New Roman"/>
          <w:b/>
          <w:bCs/>
          <w:color w:val="555555"/>
          <w:sz w:val="24"/>
          <w:szCs w:val="24"/>
          <w:lang w:eastAsia="es-EC"/>
        </w:rPr>
        <w:t>Po(</w:t>
      </w:r>
      <w:proofErr w:type="gramEnd"/>
      <w:r w:rsidRPr="00713BDA">
        <w:rPr>
          <w:rFonts w:ascii="Georgia" w:eastAsia="Times New Roman" w:hAnsi="Georgia" w:cs="Times New Roman"/>
          <w:b/>
          <w:bCs/>
          <w:color w:val="555555"/>
          <w:sz w:val="24"/>
          <w:szCs w:val="24"/>
          <w:lang w:eastAsia="es-EC"/>
        </w:rPr>
        <w:t>p1B1/B0+p2C1/C0+p3D1/D0+p4E1/E0… pnZ1/Z0 + pxX1/X0)</w:t>
      </w:r>
    </w:p>
    <w:p w14:paraId="23BC10FB"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Pr</w:t>
      </w:r>
      <w:r w:rsidRPr="00713BDA">
        <w:rPr>
          <w:rFonts w:ascii="Georgia" w:eastAsia="Times New Roman" w:hAnsi="Georgia" w:cs="Times New Roman"/>
          <w:color w:val="555555"/>
          <w:sz w:val="24"/>
          <w:szCs w:val="24"/>
          <w:lang w:eastAsia="es-EC"/>
        </w:rPr>
        <w:t> = Valor reajustado del anticipo o de la planilla.</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Po</w:t>
      </w:r>
      <w:r w:rsidRPr="00713BDA">
        <w:rPr>
          <w:rFonts w:ascii="Georgia" w:eastAsia="Times New Roman" w:hAnsi="Georgia" w:cs="Times New Roman"/>
          <w:color w:val="555555"/>
          <w:sz w:val="24"/>
          <w:szCs w:val="24"/>
          <w:lang w:eastAsia="es-EC"/>
        </w:rPr>
        <w:t> = Valor del anticipo o de la planilla calculada con las cantidades de obra ejecutada a los precios unitarios contractuales descontada la parte proporcional del anticipo, de haberlo pagado.</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p1</w:t>
      </w:r>
      <w:r w:rsidRPr="00713BDA">
        <w:rPr>
          <w:rFonts w:ascii="Georgia" w:eastAsia="Times New Roman" w:hAnsi="Georgia" w:cs="Times New Roman"/>
          <w:color w:val="555555"/>
          <w:sz w:val="24"/>
          <w:szCs w:val="24"/>
          <w:lang w:eastAsia="es-EC"/>
        </w:rPr>
        <w:t> = Coeficiente del componente mano de obra.</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 xml:space="preserve">p2, p3, p4… </w:t>
      </w:r>
      <w:proofErr w:type="spellStart"/>
      <w:r w:rsidRPr="00713BDA">
        <w:rPr>
          <w:rFonts w:ascii="Georgia" w:eastAsia="Times New Roman" w:hAnsi="Georgia" w:cs="Times New Roman"/>
          <w:b/>
          <w:bCs/>
          <w:color w:val="555555"/>
          <w:sz w:val="24"/>
          <w:szCs w:val="24"/>
          <w:lang w:eastAsia="es-EC"/>
        </w:rPr>
        <w:t>pn</w:t>
      </w:r>
      <w:proofErr w:type="spellEnd"/>
      <w:r w:rsidRPr="00713BDA">
        <w:rPr>
          <w:rFonts w:ascii="Georgia" w:eastAsia="Times New Roman" w:hAnsi="Georgia" w:cs="Times New Roman"/>
          <w:color w:val="555555"/>
          <w:sz w:val="24"/>
          <w:szCs w:val="24"/>
          <w:lang w:eastAsia="es-EC"/>
        </w:rPr>
        <w:t> = Coeficiente de los demás componentes principales.</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 </w:t>
      </w:r>
      <w:proofErr w:type="spellStart"/>
      <w:r w:rsidRPr="00713BDA">
        <w:rPr>
          <w:rFonts w:ascii="Georgia" w:eastAsia="Times New Roman" w:hAnsi="Georgia" w:cs="Times New Roman"/>
          <w:b/>
          <w:bCs/>
          <w:color w:val="555555"/>
          <w:sz w:val="24"/>
          <w:szCs w:val="24"/>
          <w:lang w:eastAsia="es-EC"/>
        </w:rPr>
        <w:t>px</w:t>
      </w:r>
      <w:proofErr w:type="spellEnd"/>
      <w:r w:rsidRPr="00713BDA">
        <w:rPr>
          <w:rFonts w:ascii="Georgia" w:eastAsia="Times New Roman" w:hAnsi="Georgia" w:cs="Times New Roman"/>
          <w:color w:val="555555"/>
          <w:sz w:val="24"/>
          <w:szCs w:val="24"/>
          <w:lang w:eastAsia="es-EC"/>
        </w:rPr>
        <w:t> = Coeficiente de los otros componentes, considerados como “no principales”, cuyo valor no excederá de 0,200 lo que equivale al 20% de incidencia del costo directo.</w:t>
      </w:r>
    </w:p>
    <w:p w14:paraId="00E4436E"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Los coeficientes de la fórmula se expresan y aplican al milésimo y la suma de aquellos debe ser igual a la unidad.</w:t>
      </w:r>
    </w:p>
    <w:p w14:paraId="4FFB890F"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B0</w:t>
      </w:r>
      <w:r w:rsidRPr="00713BDA">
        <w:rPr>
          <w:rFonts w:ascii="Georgia" w:eastAsia="Times New Roman" w:hAnsi="Georgia" w:cs="Times New Roman"/>
          <w:color w:val="555555"/>
          <w:sz w:val="24"/>
          <w:szCs w:val="24"/>
          <w:lang w:eastAsia="es-EC"/>
        </w:rPr>
        <w:t> = Sueldos y salarios mínimos de una cuadrilla tipo, más remuneraciones adicionales y obligaciones patronales; esta cuadrilla tipo estará conformada en base a los análisis de precios unitarios de la oferta adjudicada, vigentes treinta días antes de la fecha de cierre para la presentación de las ofertas.</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B1</w:t>
      </w:r>
      <w:r w:rsidRPr="00713BDA">
        <w:rPr>
          <w:rFonts w:ascii="Georgia" w:eastAsia="Times New Roman" w:hAnsi="Georgia" w:cs="Times New Roman"/>
          <w:color w:val="555555"/>
          <w:sz w:val="24"/>
          <w:szCs w:val="24"/>
          <w:lang w:eastAsia="es-EC"/>
        </w:rPr>
        <w:t> = …; esta cuadrilla tipo estará conformada sobre la base de los análisis de precios unitarios de la oferta adjudicada, vigente a la fecha de pago del anticipo o de las planillas de ejecución de obra.</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C0, D0, E0,…Z0</w:t>
      </w:r>
      <w:r w:rsidRPr="00713BDA">
        <w:rPr>
          <w:rFonts w:ascii="Georgia" w:eastAsia="Times New Roman" w:hAnsi="Georgia" w:cs="Times New Roman"/>
          <w:color w:val="555555"/>
          <w:sz w:val="24"/>
          <w:szCs w:val="24"/>
          <w:lang w:eastAsia="es-EC"/>
        </w:rPr>
        <w:t> = Los precios o índices de precios de los componentes principales vigentes treinta días antes de la fecha de cierre para la presentación de las ofertas, fecha que constará en el contrato.</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C1, D1, E1,…Z1</w:t>
      </w:r>
      <w:r w:rsidRPr="00713BDA">
        <w:rPr>
          <w:rFonts w:ascii="Georgia" w:eastAsia="Times New Roman" w:hAnsi="Georgia" w:cs="Times New Roman"/>
          <w:color w:val="555555"/>
          <w:sz w:val="24"/>
          <w:szCs w:val="24"/>
          <w:lang w:eastAsia="es-EC"/>
        </w:rPr>
        <w:t> = Los precios o los índices de precios de los componentes principales a la fecha de pago del anticipo o de las planillas de ejecución de obras.</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X0</w:t>
      </w:r>
      <w:r w:rsidRPr="00713BDA">
        <w:rPr>
          <w:rFonts w:ascii="Georgia" w:eastAsia="Times New Roman" w:hAnsi="Georgia" w:cs="Times New Roman"/>
          <w:color w:val="555555"/>
          <w:sz w:val="24"/>
          <w:szCs w:val="24"/>
          <w:lang w:eastAsia="es-EC"/>
        </w:rPr>
        <w:t> = Índice de componentes no principales correspondiente al tipo de obra y a la falta de éste, el índice de precios al consumidor treinta días antes de la fecha de cierre de la presentación de las ofertas.</w:t>
      </w:r>
      <w:r w:rsidRPr="00713BDA">
        <w:rPr>
          <w:rFonts w:ascii="Source Sans Pro" w:eastAsia="Times New Roman" w:hAnsi="Source Sans Pro" w:cs="Times New Roman"/>
          <w:color w:val="555555"/>
          <w:sz w:val="21"/>
          <w:szCs w:val="21"/>
          <w:lang w:eastAsia="es-EC"/>
        </w:rPr>
        <w:br/>
      </w:r>
      <w:r w:rsidRPr="00713BDA">
        <w:rPr>
          <w:rFonts w:ascii="Georgia" w:eastAsia="Times New Roman" w:hAnsi="Georgia" w:cs="Times New Roman"/>
          <w:color w:val="555555"/>
          <w:sz w:val="24"/>
          <w:szCs w:val="24"/>
          <w:lang w:eastAsia="es-EC"/>
        </w:rPr>
        <w:t>• </w:t>
      </w:r>
      <w:r w:rsidRPr="00713BDA">
        <w:rPr>
          <w:rFonts w:ascii="Georgia" w:eastAsia="Times New Roman" w:hAnsi="Georgia" w:cs="Times New Roman"/>
          <w:b/>
          <w:bCs/>
          <w:color w:val="555555"/>
          <w:sz w:val="24"/>
          <w:szCs w:val="24"/>
          <w:lang w:eastAsia="es-EC"/>
        </w:rPr>
        <w:t>X1</w:t>
      </w:r>
      <w:r w:rsidRPr="00713BDA">
        <w:rPr>
          <w:rFonts w:ascii="Georgia" w:eastAsia="Times New Roman" w:hAnsi="Georgia" w:cs="Times New Roman"/>
          <w:color w:val="555555"/>
          <w:sz w:val="24"/>
          <w:szCs w:val="24"/>
          <w:lang w:eastAsia="es-EC"/>
        </w:rPr>
        <w:t> = Índice de componentes no principales correspondiente al tipo de obra y a falta de éste, el índice de precios al consumidor a la fecha de pago del anticipo o de las planillas de ejecución de obras.</w:t>
      </w:r>
    </w:p>
    <w:p w14:paraId="7FC5E3D5"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 xml:space="preserve">Bajo la normativa ecuatoriana, la conformación de los monomios o llamados también términos de la fórmula, no podrá exceder de 11 términos incluido el término X de saldos o varios el mismo que puede agrupar a recursos de diversa </w:t>
      </w:r>
      <w:r w:rsidRPr="00713BDA">
        <w:rPr>
          <w:rFonts w:ascii="Georgia" w:eastAsia="Times New Roman" w:hAnsi="Georgia" w:cs="Times New Roman"/>
          <w:color w:val="555555"/>
          <w:sz w:val="24"/>
          <w:szCs w:val="24"/>
          <w:lang w:eastAsia="es-EC"/>
        </w:rPr>
        <w:lastRenderedPageBreak/>
        <w:t>naturaleza, el resto de los términos deben agrupar recursos de similar naturaleza según la agrupación de los índices de precios del Instituto Nacional de Estadísticas y Censos (INEC) del Ecuador.</w:t>
      </w:r>
    </w:p>
    <w:p w14:paraId="65C25072" w14:textId="77777777" w:rsidR="00713BDA" w:rsidRPr="00713BDA" w:rsidRDefault="00713BDA" w:rsidP="00713BDA">
      <w:pPr>
        <w:shd w:val="clear" w:color="auto" w:fill="E8A60D"/>
        <w:spacing w:before="150" w:after="150" w:line="420" w:lineRule="atLeast"/>
        <w:outlineLvl w:val="3"/>
        <w:rPr>
          <w:rFonts w:ascii="Montserrat" w:eastAsia="Times New Roman" w:hAnsi="Montserrat" w:cs="Times New Roman"/>
          <w:color w:val="222222"/>
          <w:sz w:val="27"/>
          <w:szCs w:val="27"/>
          <w:lang w:eastAsia="es-EC"/>
        </w:rPr>
      </w:pPr>
      <w:r w:rsidRPr="00713BDA">
        <w:rPr>
          <w:rFonts w:ascii="Georgia" w:eastAsia="Times New Roman" w:hAnsi="Georgia" w:cs="Times New Roman"/>
          <w:b/>
          <w:bCs/>
          <w:color w:val="222222"/>
          <w:sz w:val="24"/>
          <w:szCs w:val="24"/>
          <w:lang w:eastAsia="es-EC"/>
        </w:rPr>
        <w:t>Ejemplo de elaboración de una fórmula polinómica</w:t>
      </w:r>
    </w:p>
    <w:p w14:paraId="6A951F2C"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En la siguiente imagen se puede visualizar un pequeño ejemplo de la elaboración de una fórmula polinómica. En este ejemplo se asigna un término (letra) a los recursos que conforman los costos directos del proyecto. A partir de esta asignación, se agrupan (suman) para obtener el costo directo, la incidencia (%) y el coeficiente que será utilizado en la fórmula.</w:t>
      </w:r>
    </w:p>
    <w:p w14:paraId="75D9BB30" w14:textId="0319D50F"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Source Sans Pro" w:eastAsia="Times New Roman" w:hAnsi="Source Sans Pro" w:cs="Times New Roman"/>
          <w:noProof/>
          <w:color w:val="555555"/>
          <w:sz w:val="21"/>
          <w:szCs w:val="21"/>
          <w:lang w:eastAsia="es-EC"/>
        </w:rPr>
        <w:drawing>
          <wp:inline distT="0" distB="0" distL="0" distR="0" wp14:anchorId="101B40A7" wp14:editId="5023A911">
            <wp:extent cx="5400040" cy="425894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4258945"/>
                    </a:xfrm>
                    <a:prstGeom prst="rect">
                      <a:avLst/>
                    </a:prstGeom>
                    <a:noFill/>
                    <a:ln>
                      <a:noFill/>
                    </a:ln>
                  </pic:spPr>
                </pic:pic>
              </a:graphicData>
            </a:graphic>
          </wp:inline>
        </w:drawing>
      </w:r>
    </w:p>
    <w:p w14:paraId="3CEF2955"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 xml:space="preserve">Así también, se debe desglosar el término B de mano de obra en una </w:t>
      </w:r>
      <w:proofErr w:type="spellStart"/>
      <w:r w:rsidRPr="00713BDA">
        <w:rPr>
          <w:rFonts w:ascii="Georgia" w:eastAsia="Times New Roman" w:hAnsi="Georgia" w:cs="Times New Roman"/>
          <w:color w:val="555555"/>
          <w:sz w:val="24"/>
          <w:szCs w:val="24"/>
          <w:lang w:eastAsia="es-EC"/>
        </w:rPr>
        <w:t>sub-fórmula</w:t>
      </w:r>
      <w:proofErr w:type="spellEnd"/>
      <w:r w:rsidRPr="00713BDA">
        <w:rPr>
          <w:rFonts w:ascii="Georgia" w:eastAsia="Times New Roman" w:hAnsi="Georgia" w:cs="Times New Roman"/>
          <w:color w:val="555555"/>
          <w:sz w:val="24"/>
          <w:szCs w:val="24"/>
          <w:lang w:eastAsia="es-EC"/>
        </w:rPr>
        <w:t xml:space="preserve"> de igual criterio que la fórmula principal, a esta </w:t>
      </w:r>
      <w:proofErr w:type="spellStart"/>
      <w:r w:rsidRPr="00713BDA">
        <w:rPr>
          <w:rFonts w:ascii="Georgia" w:eastAsia="Times New Roman" w:hAnsi="Georgia" w:cs="Times New Roman"/>
          <w:color w:val="555555"/>
          <w:sz w:val="24"/>
          <w:szCs w:val="24"/>
          <w:lang w:eastAsia="es-EC"/>
        </w:rPr>
        <w:t>sub-fórmula</w:t>
      </w:r>
      <w:proofErr w:type="spellEnd"/>
      <w:r w:rsidRPr="00713BDA">
        <w:rPr>
          <w:rFonts w:ascii="Georgia" w:eastAsia="Times New Roman" w:hAnsi="Georgia" w:cs="Times New Roman"/>
          <w:color w:val="555555"/>
          <w:sz w:val="24"/>
          <w:szCs w:val="24"/>
          <w:lang w:eastAsia="es-EC"/>
        </w:rPr>
        <w:t xml:space="preserve"> se le denomina </w:t>
      </w:r>
      <w:r w:rsidRPr="00713BDA">
        <w:rPr>
          <w:rFonts w:ascii="Georgia" w:eastAsia="Times New Roman" w:hAnsi="Georgia" w:cs="Times New Roman"/>
          <w:b/>
          <w:bCs/>
          <w:color w:val="555555"/>
          <w:sz w:val="24"/>
          <w:szCs w:val="24"/>
          <w:lang w:eastAsia="es-EC"/>
        </w:rPr>
        <w:t>Cuadrilla Tipo</w:t>
      </w:r>
      <w:r w:rsidRPr="00713BDA">
        <w:rPr>
          <w:rFonts w:ascii="Georgia" w:eastAsia="Times New Roman" w:hAnsi="Georgia" w:cs="Times New Roman"/>
          <w:color w:val="555555"/>
          <w:sz w:val="24"/>
          <w:szCs w:val="24"/>
          <w:lang w:eastAsia="es-EC"/>
        </w:rPr>
        <w:t>.</w:t>
      </w:r>
    </w:p>
    <w:p w14:paraId="3E117653" w14:textId="77777777" w:rsidR="00713BDA" w:rsidRPr="00713BDA" w:rsidRDefault="00713BDA" w:rsidP="00713BDA">
      <w:pPr>
        <w:shd w:val="clear" w:color="auto" w:fill="E8A60D"/>
        <w:spacing w:before="150" w:after="150" w:line="420" w:lineRule="atLeast"/>
        <w:outlineLvl w:val="3"/>
        <w:rPr>
          <w:rFonts w:ascii="Montserrat" w:eastAsia="Times New Roman" w:hAnsi="Montserrat" w:cs="Times New Roman"/>
          <w:color w:val="222222"/>
          <w:sz w:val="27"/>
          <w:szCs w:val="27"/>
          <w:lang w:eastAsia="es-EC"/>
        </w:rPr>
      </w:pPr>
      <w:r w:rsidRPr="00713BDA">
        <w:rPr>
          <w:rFonts w:ascii="Georgia" w:eastAsia="Times New Roman" w:hAnsi="Georgia" w:cs="Times New Roman"/>
          <w:b/>
          <w:bCs/>
          <w:color w:val="222222"/>
          <w:sz w:val="24"/>
          <w:szCs w:val="24"/>
          <w:lang w:eastAsia="es-EC"/>
        </w:rPr>
        <w:t>Reajustes de precios</w:t>
      </w:r>
    </w:p>
    <w:p w14:paraId="3EF51CD4"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 xml:space="preserve">Los reajustes de precios en una obra, dentro del sector público de Ecuador, se basan en la aplicación de la fórmula polinómica y la variación de los índices de precios de la construcción, publicados mensualmente por el Instituto Nacional de Estadísticas y Censos (INEC). Los índices de precios de la </w:t>
      </w:r>
      <w:proofErr w:type="gramStart"/>
      <w:r w:rsidRPr="00713BDA">
        <w:rPr>
          <w:rFonts w:ascii="Georgia" w:eastAsia="Times New Roman" w:hAnsi="Georgia" w:cs="Times New Roman"/>
          <w:color w:val="555555"/>
          <w:sz w:val="24"/>
          <w:szCs w:val="24"/>
          <w:lang w:eastAsia="es-EC"/>
        </w:rPr>
        <w:t>construcción(</w:t>
      </w:r>
      <w:proofErr w:type="gramEnd"/>
      <w:r w:rsidRPr="00713BDA">
        <w:rPr>
          <w:rFonts w:ascii="Georgia" w:eastAsia="Times New Roman" w:hAnsi="Georgia" w:cs="Times New Roman"/>
          <w:color w:val="555555"/>
          <w:sz w:val="24"/>
          <w:szCs w:val="24"/>
          <w:lang w:eastAsia="es-EC"/>
        </w:rPr>
        <w:t xml:space="preserve">IPCO </w:t>
      </w:r>
      <w:r w:rsidRPr="00713BDA">
        <w:rPr>
          <w:rFonts w:ascii="Georgia" w:eastAsia="Times New Roman" w:hAnsi="Georgia" w:cs="Times New Roman"/>
          <w:color w:val="555555"/>
          <w:sz w:val="24"/>
          <w:szCs w:val="24"/>
          <w:lang w:eastAsia="es-EC"/>
        </w:rPr>
        <w:lastRenderedPageBreak/>
        <w:t>e IPC), pueden ser descargados del sitio </w:t>
      </w:r>
      <w:hyperlink r:id="rId5" w:tgtFrame="_blank" w:history="1">
        <w:r w:rsidRPr="00713BDA">
          <w:rPr>
            <w:rFonts w:ascii="Georgia" w:eastAsia="Times New Roman" w:hAnsi="Georgia" w:cs="Times New Roman"/>
            <w:color w:val="0000FF"/>
            <w:sz w:val="24"/>
            <w:szCs w:val="24"/>
            <w:u w:val="single"/>
            <w:lang w:eastAsia="es-EC"/>
          </w:rPr>
          <w:t>https://www.ecuadorencifras.gob.ec/</w:t>
        </w:r>
      </w:hyperlink>
      <w:r w:rsidRPr="00713BDA">
        <w:rPr>
          <w:rFonts w:ascii="Georgia" w:eastAsia="Times New Roman" w:hAnsi="Georgia" w:cs="Times New Roman"/>
          <w:color w:val="555555"/>
          <w:sz w:val="24"/>
          <w:szCs w:val="24"/>
          <w:lang w:eastAsia="es-EC"/>
        </w:rPr>
        <w:t> en la opción de estadísticas.</w:t>
      </w:r>
    </w:p>
    <w:p w14:paraId="5C5FC037"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b/>
          <w:bCs/>
          <w:i/>
          <w:iCs/>
          <w:color w:val="555555"/>
          <w:sz w:val="24"/>
          <w:szCs w:val="24"/>
          <w:lang w:eastAsia="es-EC"/>
        </w:rPr>
        <w:t xml:space="preserve">Reajustes de precios </w:t>
      </w:r>
      <w:proofErr w:type="gramStart"/>
      <w:r w:rsidRPr="00713BDA">
        <w:rPr>
          <w:rFonts w:ascii="Georgia" w:eastAsia="Times New Roman" w:hAnsi="Georgia" w:cs="Times New Roman"/>
          <w:b/>
          <w:bCs/>
          <w:i/>
          <w:iCs/>
          <w:color w:val="555555"/>
          <w:sz w:val="24"/>
          <w:szCs w:val="24"/>
          <w:lang w:eastAsia="es-EC"/>
        </w:rPr>
        <w:t>provisionales.-</w:t>
      </w:r>
      <w:proofErr w:type="gramEnd"/>
      <w:r w:rsidRPr="00713BDA">
        <w:rPr>
          <w:rFonts w:ascii="Georgia" w:eastAsia="Times New Roman" w:hAnsi="Georgia" w:cs="Times New Roman"/>
          <w:color w:val="555555"/>
          <w:sz w:val="24"/>
          <w:szCs w:val="24"/>
          <w:lang w:eastAsia="es-EC"/>
        </w:rPr>
        <w:t> son los reajustes que de manera provisional se generan al momento de realizar el pago del anticipo y/o planillas de ejecución, llamados también planillas de avance. Son provisionales porque no se cuentan con la información de los índices de precios al mes que corresponde dicho reajuste, por lo que se utiliza los de los meses previos que se tengan disponibles. De esta forma, los índices de precios del INEC de la fecha de inicio (I0) se debe tomar el mes que corresponde a 30 días antes de la fecha de presentación de la oferta y para los índices de precios de la fecha final (I1) se debe tomar el mes que corresponde a los índices más actuales entregados por el INEC.</w:t>
      </w:r>
    </w:p>
    <w:p w14:paraId="605DD798"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b/>
          <w:bCs/>
          <w:i/>
          <w:iCs/>
          <w:color w:val="555555"/>
          <w:sz w:val="24"/>
          <w:szCs w:val="24"/>
          <w:lang w:eastAsia="es-EC"/>
        </w:rPr>
        <w:t xml:space="preserve">Reajustes de precios </w:t>
      </w:r>
      <w:proofErr w:type="gramStart"/>
      <w:r w:rsidRPr="00713BDA">
        <w:rPr>
          <w:rFonts w:ascii="Georgia" w:eastAsia="Times New Roman" w:hAnsi="Georgia" w:cs="Times New Roman"/>
          <w:b/>
          <w:bCs/>
          <w:i/>
          <w:iCs/>
          <w:color w:val="555555"/>
          <w:sz w:val="24"/>
          <w:szCs w:val="24"/>
          <w:lang w:eastAsia="es-EC"/>
        </w:rPr>
        <w:t>definitivos.-</w:t>
      </w:r>
      <w:proofErr w:type="gramEnd"/>
      <w:r w:rsidRPr="00713BDA">
        <w:rPr>
          <w:rFonts w:ascii="Georgia" w:eastAsia="Times New Roman" w:hAnsi="Georgia" w:cs="Times New Roman"/>
          <w:color w:val="555555"/>
          <w:sz w:val="24"/>
          <w:szCs w:val="24"/>
          <w:lang w:eastAsia="es-EC"/>
        </w:rPr>
        <w:t> son los reajustes que se generan para la liquidación, por lo que se debe contar con la fórmula polinómica de liquidación (comúnmente es la misma fórmula establecida en el contrato)  y las fechas de pago del anticipo y/o planillas de ejecución. Para seleccionar los índices de precios del INEC de la fecha de inicio (I0) se debe tomar el mes que corresponde a 30 días antes de la fecha de presentación de la oferta y para los índices de precios del INEC de la fecha final (I1) se debe tomar el mes que corresponde a la fecha de pago del documento.</w:t>
      </w:r>
    </w:p>
    <w:p w14:paraId="0B24C55A"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 xml:space="preserve">Es importante anotar </w:t>
      </w:r>
      <w:proofErr w:type="gramStart"/>
      <w:r w:rsidRPr="00713BDA">
        <w:rPr>
          <w:rFonts w:ascii="Georgia" w:eastAsia="Times New Roman" w:hAnsi="Georgia" w:cs="Times New Roman"/>
          <w:color w:val="555555"/>
          <w:sz w:val="24"/>
          <w:szCs w:val="24"/>
          <w:lang w:eastAsia="es-EC"/>
        </w:rPr>
        <w:t>que</w:t>
      </w:r>
      <w:proofErr w:type="gramEnd"/>
      <w:r w:rsidRPr="00713BDA">
        <w:rPr>
          <w:rFonts w:ascii="Georgia" w:eastAsia="Times New Roman" w:hAnsi="Georgia" w:cs="Times New Roman"/>
          <w:color w:val="555555"/>
          <w:sz w:val="24"/>
          <w:szCs w:val="24"/>
          <w:lang w:eastAsia="es-EC"/>
        </w:rPr>
        <w:t xml:space="preserve"> para establecer el valor a reajustar de cada planilla, se debe restar, del valor de la planilla, el anticipo devengado.</w:t>
      </w:r>
    </w:p>
    <w:p w14:paraId="1CB3CD16"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Finalmente, se deberá realizar una liquidación de reajustes que corresponda a la diferencia (sea a favor o contra del contratista) entre los reajustes definitivos menos los reajustes provisionales ya pagados.</w:t>
      </w:r>
    </w:p>
    <w:p w14:paraId="38CF9218" w14:textId="77777777" w:rsidR="00713BDA" w:rsidRPr="00713BDA" w:rsidRDefault="00713BDA" w:rsidP="00713BDA">
      <w:pPr>
        <w:shd w:val="clear" w:color="auto" w:fill="E8A60D"/>
        <w:spacing w:before="150" w:after="150" w:line="420" w:lineRule="atLeast"/>
        <w:outlineLvl w:val="3"/>
        <w:rPr>
          <w:rFonts w:ascii="Montserrat" w:eastAsia="Times New Roman" w:hAnsi="Montserrat" w:cs="Times New Roman"/>
          <w:color w:val="222222"/>
          <w:sz w:val="27"/>
          <w:szCs w:val="27"/>
          <w:lang w:eastAsia="es-EC"/>
        </w:rPr>
      </w:pPr>
      <w:r w:rsidRPr="00713BDA">
        <w:rPr>
          <w:rFonts w:ascii="Georgia" w:eastAsia="Times New Roman" w:hAnsi="Georgia" w:cs="Times New Roman"/>
          <w:b/>
          <w:bCs/>
          <w:color w:val="222222"/>
          <w:sz w:val="24"/>
          <w:szCs w:val="24"/>
          <w:lang w:eastAsia="es-EC"/>
        </w:rPr>
        <w:t>Ejemplo de un reajuste de precios</w:t>
      </w:r>
    </w:p>
    <w:p w14:paraId="0E24790A"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En las siguientes gráficas, se puede visualizar un ejemplo (con datos que no son reales) de la realización de un reajuste de precios. Primero, se tiene la aplicación de índices (datos numéricos de ejemplo) sobre la fórmula polinómica principal y el cálculo del </w:t>
      </w:r>
      <w:r w:rsidRPr="00713BDA">
        <w:rPr>
          <w:rFonts w:ascii="Georgia" w:eastAsia="Times New Roman" w:hAnsi="Georgia" w:cs="Times New Roman"/>
          <w:b/>
          <w:bCs/>
          <w:color w:val="555555"/>
          <w:sz w:val="24"/>
          <w:szCs w:val="24"/>
          <w:lang w:eastAsia="es-EC"/>
        </w:rPr>
        <w:t>coeficiente de reajuste</w:t>
      </w:r>
      <w:r w:rsidRPr="00713BDA">
        <w:rPr>
          <w:rFonts w:ascii="Georgia" w:eastAsia="Times New Roman" w:hAnsi="Georgia" w:cs="Times New Roman"/>
          <w:color w:val="555555"/>
          <w:sz w:val="24"/>
          <w:szCs w:val="24"/>
          <w:lang w:eastAsia="es-EC"/>
        </w:rPr>
        <w:t>. En la segunda gráfica de la aplicación de reajuste en la cuadrilla tipo, se tiene el cálculo de los salarios ponderados que se utilizan luego en la fórmula principal. Finalmente, en la última gráfica, y en función del coeficiente de reajuste, se tiene la aplicación del reajuste al anticipo de la obra.</w:t>
      </w:r>
    </w:p>
    <w:p w14:paraId="284431B3"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b/>
          <w:bCs/>
          <w:i/>
          <w:iCs/>
          <w:color w:val="555555"/>
          <w:sz w:val="24"/>
          <w:szCs w:val="24"/>
          <w:lang w:eastAsia="es-EC"/>
        </w:rPr>
        <w:t>Fórmula principal</w:t>
      </w:r>
    </w:p>
    <w:p w14:paraId="5B337B4A" w14:textId="63839B13"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Source Sans Pro" w:eastAsia="Times New Roman" w:hAnsi="Source Sans Pro" w:cs="Times New Roman"/>
          <w:noProof/>
          <w:color w:val="555555"/>
          <w:sz w:val="21"/>
          <w:szCs w:val="21"/>
          <w:lang w:eastAsia="es-EC"/>
        </w:rPr>
        <w:lastRenderedPageBreak/>
        <w:drawing>
          <wp:inline distT="0" distB="0" distL="0" distR="0" wp14:anchorId="008C046A" wp14:editId="0B8AB663">
            <wp:extent cx="5400040" cy="1625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1625600"/>
                    </a:xfrm>
                    <a:prstGeom prst="rect">
                      <a:avLst/>
                    </a:prstGeom>
                    <a:noFill/>
                    <a:ln>
                      <a:noFill/>
                    </a:ln>
                  </pic:spPr>
                </pic:pic>
              </a:graphicData>
            </a:graphic>
          </wp:inline>
        </w:drawing>
      </w:r>
    </w:p>
    <w:p w14:paraId="610DA8DD"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b/>
          <w:bCs/>
          <w:i/>
          <w:iCs/>
          <w:color w:val="555555"/>
          <w:sz w:val="24"/>
          <w:szCs w:val="24"/>
          <w:lang w:eastAsia="es-EC"/>
        </w:rPr>
        <w:t>Cuadrilla tipo de mono de obra</w:t>
      </w:r>
    </w:p>
    <w:p w14:paraId="6413FE19" w14:textId="1C4F58AB"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Source Sans Pro" w:eastAsia="Times New Roman" w:hAnsi="Source Sans Pro" w:cs="Times New Roman"/>
          <w:noProof/>
          <w:color w:val="555555"/>
          <w:sz w:val="21"/>
          <w:szCs w:val="21"/>
          <w:lang w:eastAsia="es-EC"/>
        </w:rPr>
        <w:drawing>
          <wp:inline distT="0" distB="0" distL="0" distR="0" wp14:anchorId="1691FD66" wp14:editId="453EFBD1">
            <wp:extent cx="5400040" cy="117856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1178560"/>
                    </a:xfrm>
                    <a:prstGeom prst="rect">
                      <a:avLst/>
                    </a:prstGeom>
                    <a:noFill/>
                    <a:ln>
                      <a:noFill/>
                    </a:ln>
                  </pic:spPr>
                </pic:pic>
              </a:graphicData>
            </a:graphic>
          </wp:inline>
        </w:drawing>
      </w:r>
    </w:p>
    <w:p w14:paraId="6E0800C9" w14:textId="77777777"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b/>
          <w:bCs/>
          <w:i/>
          <w:iCs/>
          <w:color w:val="555555"/>
          <w:sz w:val="24"/>
          <w:szCs w:val="24"/>
          <w:lang w:eastAsia="es-EC"/>
        </w:rPr>
        <w:t>Aplicación del coeficiente de reajuste</w:t>
      </w:r>
    </w:p>
    <w:p w14:paraId="44131AF3" w14:textId="28DA21D3" w:rsidR="00713BDA" w:rsidRPr="00713BDA" w:rsidRDefault="00713BDA" w:rsidP="00713BDA">
      <w:pPr>
        <w:shd w:val="clear" w:color="auto" w:fill="E8A60D"/>
        <w:spacing w:after="390" w:line="240" w:lineRule="auto"/>
        <w:rPr>
          <w:rFonts w:ascii="Source Sans Pro" w:eastAsia="Times New Roman" w:hAnsi="Source Sans Pro" w:cs="Times New Roman"/>
          <w:color w:val="555555"/>
          <w:sz w:val="21"/>
          <w:szCs w:val="21"/>
          <w:lang w:eastAsia="es-EC"/>
        </w:rPr>
      </w:pPr>
      <w:r w:rsidRPr="00713BDA">
        <w:rPr>
          <w:rFonts w:ascii="Source Sans Pro" w:eastAsia="Times New Roman" w:hAnsi="Source Sans Pro" w:cs="Times New Roman"/>
          <w:noProof/>
          <w:color w:val="555555"/>
          <w:sz w:val="21"/>
          <w:szCs w:val="21"/>
          <w:lang w:eastAsia="es-EC"/>
        </w:rPr>
        <w:drawing>
          <wp:inline distT="0" distB="0" distL="0" distR="0" wp14:anchorId="79B2EFF2" wp14:editId="0E3881D9">
            <wp:extent cx="4714875" cy="16954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4875" cy="1695450"/>
                    </a:xfrm>
                    <a:prstGeom prst="rect">
                      <a:avLst/>
                    </a:prstGeom>
                    <a:noFill/>
                    <a:ln>
                      <a:noFill/>
                    </a:ln>
                  </pic:spPr>
                </pic:pic>
              </a:graphicData>
            </a:graphic>
          </wp:inline>
        </w:drawing>
      </w:r>
    </w:p>
    <w:p w14:paraId="2BFDC6E7" w14:textId="77777777" w:rsidR="00713BDA" w:rsidRPr="00713BDA" w:rsidRDefault="00713BDA" w:rsidP="00713BDA">
      <w:pPr>
        <w:shd w:val="clear" w:color="auto" w:fill="E8A60D"/>
        <w:spacing w:after="0" w:line="240" w:lineRule="auto"/>
        <w:rPr>
          <w:rFonts w:ascii="Source Sans Pro" w:eastAsia="Times New Roman" w:hAnsi="Source Sans Pro" w:cs="Times New Roman"/>
          <w:color w:val="555555"/>
          <w:sz w:val="21"/>
          <w:szCs w:val="21"/>
          <w:lang w:eastAsia="es-EC"/>
        </w:rPr>
      </w:pPr>
      <w:r w:rsidRPr="00713BDA">
        <w:rPr>
          <w:rFonts w:ascii="Georgia" w:eastAsia="Times New Roman" w:hAnsi="Georgia" w:cs="Times New Roman"/>
          <w:color w:val="555555"/>
          <w:sz w:val="24"/>
          <w:szCs w:val="24"/>
          <w:lang w:eastAsia="es-EC"/>
        </w:rPr>
        <w:t xml:space="preserve">Redactado por: Miguel Vivar – </w:t>
      </w:r>
      <w:proofErr w:type="gramStart"/>
      <w:r w:rsidRPr="00713BDA">
        <w:rPr>
          <w:rFonts w:ascii="Georgia" w:eastAsia="Times New Roman" w:hAnsi="Georgia" w:cs="Times New Roman"/>
          <w:color w:val="555555"/>
          <w:sz w:val="24"/>
          <w:szCs w:val="24"/>
          <w:lang w:eastAsia="es-EC"/>
        </w:rPr>
        <w:t>Director</w:t>
      </w:r>
      <w:proofErr w:type="gramEnd"/>
      <w:r w:rsidRPr="00713BDA">
        <w:rPr>
          <w:rFonts w:ascii="Georgia" w:eastAsia="Times New Roman" w:hAnsi="Georgia" w:cs="Times New Roman"/>
          <w:color w:val="555555"/>
          <w:sz w:val="24"/>
          <w:szCs w:val="24"/>
          <w:lang w:eastAsia="es-EC"/>
        </w:rPr>
        <w:t xml:space="preserve"> de Proyectos de </w:t>
      </w:r>
      <w:proofErr w:type="spellStart"/>
      <w:r w:rsidRPr="00713BDA">
        <w:rPr>
          <w:rFonts w:ascii="Georgia" w:eastAsia="Times New Roman" w:hAnsi="Georgia" w:cs="Times New Roman"/>
          <w:color w:val="555555"/>
          <w:sz w:val="24"/>
          <w:szCs w:val="24"/>
          <w:lang w:eastAsia="es-EC"/>
        </w:rPr>
        <w:t>InterPro</w:t>
      </w:r>
      <w:proofErr w:type="spellEnd"/>
    </w:p>
    <w:p w14:paraId="5ACED2F9" w14:textId="77777777" w:rsidR="00AC537A" w:rsidRDefault="00AC537A"/>
    <w:sectPr w:rsidR="00AC53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BDA"/>
    <w:rsid w:val="00713BDA"/>
    <w:rsid w:val="00AC537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7A81"/>
  <w15:chartTrackingRefBased/>
  <w15:docId w15:val="{A9C0ECAD-89E6-473F-B6ED-4806A43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ar"/>
    <w:uiPriority w:val="9"/>
    <w:qFormat/>
    <w:rsid w:val="00713BDA"/>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713BDA"/>
    <w:rPr>
      <w:rFonts w:ascii="Times New Roman" w:eastAsia="Times New Roman" w:hAnsi="Times New Roman" w:cs="Times New Roman"/>
      <w:b/>
      <w:bCs/>
      <w:sz w:val="24"/>
      <w:szCs w:val="24"/>
      <w:lang w:eastAsia="es-EC"/>
    </w:rPr>
  </w:style>
  <w:style w:type="paragraph" w:styleId="NormalWeb">
    <w:name w:val="Normal (Web)"/>
    <w:basedOn w:val="Normal"/>
    <w:uiPriority w:val="99"/>
    <w:semiHidden/>
    <w:unhideWhenUsed/>
    <w:rsid w:val="00713BDA"/>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713BDA"/>
    <w:rPr>
      <w:b/>
      <w:bCs/>
    </w:rPr>
  </w:style>
  <w:style w:type="character" w:styleId="Hipervnculo">
    <w:name w:val="Hyperlink"/>
    <w:basedOn w:val="Fuentedeprrafopredeter"/>
    <w:uiPriority w:val="99"/>
    <w:semiHidden/>
    <w:unhideWhenUsed/>
    <w:rsid w:val="00713BDA"/>
    <w:rPr>
      <w:color w:val="0000FF"/>
      <w:u w:val="single"/>
    </w:rPr>
  </w:style>
  <w:style w:type="character" w:styleId="nfasis">
    <w:name w:val="Emphasis"/>
    <w:basedOn w:val="Fuentedeprrafopredeter"/>
    <w:uiPriority w:val="20"/>
    <w:qFormat/>
    <w:rsid w:val="00713B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61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ecuadorencifras.gob.ec/"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991</Words>
  <Characters>5452</Characters>
  <Application>Microsoft Office Word</Application>
  <DocSecurity>0</DocSecurity>
  <Lines>45</Lines>
  <Paragraphs>12</Paragraphs>
  <ScaleCrop>false</ScaleCrop>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Bermeo</dc:creator>
  <cp:keywords/>
  <dc:description/>
  <cp:lastModifiedBy>Santiago Bermeo</cp:lastModifiedBy>
  <cp:revision>1</cp:revision>
  <dcterms:created xsi:type="dcterms:W3CDTF">2023-08-22T13:35:00Z</dcterms:created>
  <dcterms:modified xsi:type="dcterms:W3CDTF">2023-08-22T13:36:00Z</dcterms:modified>
</cp:coreProperties>
</file>