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3"/>
        <w:gridCol w:w="1612"/>
        <w:gridCol w:w="1843"/>
        <w:gridCol w:w="1701"/>
        <w:gridCol w:w="1701"/>
        <w:gridCol w:w="113"/>
        <w:gridCol w:w="1565"/>
      </w:tblGrid>
      <w:tr w:rsidR="001766F9" w:rsidRPr="001766F9" w:rsidTr="001766F9">
        <w:trPr>
          <w:trHeight w:val="75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bookmarkStart w:id="0" w:name="_GoBack"/>
            <w:bookmarkEnd w:id="0"/>
          </w:p>
        </w:tc>
        <w:tc>
          <w:tcPr>
            <w:tcW w:w="8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Precios de referencia para los combustibles líquidos Zona Central</w:t>
            </w:r>
          </w:p>
        </w:tc>
      </w:tr>
      <w:tr w:rsidR="001766F9" w:rsidRPr="001766F9" w:rsidTr="001766F9">
        <w:trPr>
          <w:trHeight w:val="91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Detalle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 bajo en azufre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Regular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Especial</w:t>
            </w:r>
          </w:p>
        </w:tc>
      </w:tr>
      <w:tr w:rsidR="001766F9" w:rsidRPr="001766F9" w:rsidTr="001766F9">
        <w:trPr>
          <w:trHeight w:val="660"/>
        </w:trPr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CIF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FOB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766F9" w:rsidRPr="001766F9" w:rsidTr="001766F9">
        <w:trPr>
          <w:trHeight w:val="2355"/>
        </w:trPr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Ajuste de calidad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UNL-93)/6)*4       </w:t>
            </w:r>
          </w:p>
        </w:tc>
      </w:tr>
      <w:tr w:rsidR="001766F9" w:rsidRPr="001766F9" w:rsidTr="00DD6F08">
        <w:trPr>
          <w:trHeight w:val="1292"/>
        </w:trPr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Marítimo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161290</wp:posOffset>
                  </wp:positionV>
                  <wp:extent cx="2035175" cy="682625"/>
                  <wp:effectExtent l="0" t="0" r="3175" b="3175"/>
                  <wp:wrapThrough wrapText="bothSides">
                    <wp:wrapPolygon edited="0">
                      <wp:start x="0" y="0"/>
                      <wp:lineTo x="0" y="21098"/>
                      <wp:lineTo x="21432" y="21098"/>
                      <wp:lineTo x="21432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8495" t="43769" r="15360" b="31694"/>
                          <a:stretch/>
                        </pic:blipFill>
                        <pic:spPr bwMode="auto">
                          <a:xfrm>
                            <a:off x="0" y="0"/>
                            <a:ext cx="2035175" cy="68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-481965</wp:posOffset>
                  </wp:positionV>
                  <wp:extent cx="1820545" cy="953770"/>
                  <wp:effectExtent l="0" t="0" r="8255" b="0"/>
                  <wp:wrapThrough wrapText="bothSides">
                    <wp:wrapPolygon edited="0">
                      <wp:start x="0" y="0"/>
                      <wp:lineTo x="0" y="21140"/>
                      <wp:lineTo x="21472" y="21140"/>
                      <wp:lineTo x="21472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383" t="51104" r="22847" b="21135"/>
                          <a:stretch/>
                        </pic:blipFill>
                        <pic:spPr bwMode="auto">
                          <a:xfrm>
                            <a:off x="0" y="0"/>
                            <a:ext cx="1820545" cy="95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766F9" w:rsidRPr="001766F9" w:rsidTr="001766F9">
        <w:trPr>
          <w:trHeight w:val="1200"/>
        </w:trPr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Seguro Marítimo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</w:tr>
      <w:tr w:rsidR="001766F9" w:rsidRPr="001766F9" w:rsidTr="001766F9">
        <w:trPr>
          <w:trHeight w:val="1545"/>
        </w:trPr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Pérdidas en tránsito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</w:tr>
      <w:tr w:rsidR="001766F9" w:rsidRPr="001766F9" w:rsidTr="001766F9">
        <w:trPr>
          <w:trHeight w:val="555"/>
        </w:trPr>
        <w:tc>
          <w:tcPr>
            <w:tcW w:w="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Costo de internación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</w:tr>
      <w:tr w:rsidR="001766F9" w:rsidRPr="001766F9" w:rsidTr="001766F9">
        <w:trPr>
          <w:trHeight w:val="510"/>
        </w:trPr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Márgenes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minorista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766F9" w:rsidRPr="001766F9" w:rsidTr="001766F9">
        <w:trPr>
          <w:trHeight w:val="525"/>
        </w:trPr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mayorista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766F9" w:rsidRPr="001766F9" w:rsidTr="001766F9">
        <w:trPr>
          <w:trHeight w:val="570"/>
        </w:trPr>
        <w:tc>
          <w:tcPr>
            <w:tcW w:w="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Zona Central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$0.036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$0.036</w:t>
            </w:r>
          </w:p>
        </w:tc>
      </w:tr>
      <w:tr w:rsidR="001766F9" w:rsidRPr="001766F9" w:rsidTr="001766F9">
        <w:trPr>
          <w:trHeight w:val="1140"/>
        </w:trPr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Tributos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IEC  Zona Central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</w:tr>
      <w:tr w:rsidR="001766F9" w:rsidRPr="001766F9" w:rsidTr="001766F9">
        <w:trPr>
          <w:trHeight w:val="300"/>
        </w:trPr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FOVIAL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</w:tr>
      <w:tr w:rsidR="001766F9" w:rsidRPr="001766F9" w:rsidTr="001766F9">
        <w:trPr>
          <w:trHeight w:val="300"/>
        </w:trPr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COTRANS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</w:tr>
      <w:tr w:rsidR="001766F9" w:rsidRPr="001766F9" w:rsidTr="001766F9">
        <w:trPr>
          <w:trHeight w:val="360"/>
        </w:trPr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FEFE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</w:tr>
      <w:tr w:rsidR="001766F9" w:rsidRPr="001766F9" w:rsidTr="001766F9">
        <w:trPr>
          <w:trHeight w:val="3405"/>
        </w:trPr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IVA Zona Central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central e IEC zona central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central e IEC zona central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central, IEC zona central y  FEFE 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central, IEC zona central y  FEFE </w:t>
            </w:r>
          </w:p>
        </w:tc>
      </w:tr>
      <w:tr w:rsidR="001766F9" w:rsidRPr="001766F9" w:rsidTr="001766F9">
        <w:trPr>
          <w:trHeight w:val="1050"/>
        </w:trPr>
        <w:tc>
          <w:tcPr>
            <w:tcW w:w="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de referencia Zona Central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</w:tr>
    </w:tbl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Default="001766F9" w:rsidP="009166E0">
      <w:pPr>
        <w:rPr>
          <w:b/>
          <w:sz w:val="20"/>
        </w:rPr>
      </w:pPr>
    </w:p>
    <w:p w:rsidR="001766F9" w:rsidRPr="00AA1EF1" w:rsidRDefault="001766F9" w:rsidP="009166E0">
      <w:pPr>
        <w:rPr>
          <w:sz w:val="20"/>
        </w:rPr>
      </w:pPr>
    </w:p>
    <w:p w:rsidR="001766F9" w:rsidRDefault="001766F9" w:rsidP="007426DE">
      <w:pPr>
        <w:spacing w:line="240" w:lineRule="auto"/>
        <w:rPr>
          <w:sz w:val="20"/>
        </w:rPr>
      </w:pPr>
    </w:p>
    <w:p w:rsidR="003C7648" w:rsidRDefault="003C7648" w:rsidP="007426DE">
      <w:pPr>
        <w:spacing w:line="240" w:lineRule="auto"/>
        <w:rPr>
          <w:sz w:val="20"/>
        </w:rPr>
      </w:pPr>
    </w:p>
    <w:p w:rsidR="003C7648" w:rsidRDefault="003C7648" w:rsidP="007426DE">
      <w:pPr>
        <w:spacing w:line="240" w:lineRule="auto"/>
        <w:rPr>
          <w:sz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1613"/>
        <w:gridCol w:w="1843"/>
        <w:gridCol w:w="1559"/>
        <w:gridCol w:w="1559"/>
        <w:gridCol w:w="284"/>
        <w:gridCol w:w="1678"/>
      </w:tblGrid>
      <w:tr w:rsidR="001766F9" w:rsidRPr="001766F9" w:rsidTr="003C7648">
        <w:trPr>
          <w:trHeight w:val="75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8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Precios de referencia para los combustibles líquidos Zona Occidental</w:t>
            </w:r>
          </w:p>
        </w:tc>
      </w:tr>
      <w:tr w:rsidR="003C7648" w:rsidRPr="001766F9" w:rsidTr="003C7648">
        <w:trPr>
          <w:trHeight w:val="9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Detalle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 bajo en azufre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Regular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Especial</w:t>
            </w:r>
          </w:p>
        </w:tc>
      </w:tr>
      <w:tr w:rsidR="003C7648" w:rsidRPr="001766F9" w:rsidTr="003C7648">
        <w:trPr>
          <w:trHeight w:val="660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CIF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FOB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3C7648" w:rsidRPr="001766F9" w:rsidTr="003C7648">
        <w:trPr>
          <w:trHeight w:val="235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Ajuste de calidad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UNL-93)/6)*4       </w:t>
            </w:r>
          </w:p>
        </w:tc>
      </w:tr>
      <w:tr w:rsidR="003C7648" w:rsidRPr="001766F9" w:rsidTr="00DD6F08">
        <w:trPr>
          <w:trHeight w:val="148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3C7648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Marítimo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-368935</wp:posOffset>
                  </wp:positionV>
                  <wp:extent cx="2035175" cy="682625"/>
                  <wp:effectExtent l="0" t="0" r="3175" b="3175"/>
                  <wp:wrapThrough wrapText="bothSides">
                    <wp:wrapPolygon edited="0">
                      <wp:start x="0" y="0"/>
                      <wp:lineTo x="0" y="21098"/>
                      <wp:lineTo x="21432" y="21098"/>
                      <wp:lineTo x="21432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8495" t="43769" r="15360" b="31694"/>
                          <a:stretch/>
                        </pic:blipFill>
                        <pic:spPr bwMode="auto">
                          <a:xfrm>
                            <a:off x="0" y="0"/>
                            <a:ext cx="2035175" cy="68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1820545" cy="953770"/>
                  <wp:effectExtent l="0" t="0" r="8255" b="0"/>
                  <wp:wrapThrough wrapText="bothSides">
                    <wp:wrapPolygon edited="0">
                      <wp:start x="0" y="0"/>
                      <wp:lineTo x="0" y="21140"/>
                      <wp:lineTo x="21472" y="21140"/>
                      <wp:lineTo x="21472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383" t="51104" r="22847" b="21135"/>
                          <a:stretch/>
                        </pic:blipFill>
                        <pic:spPr bwMode="auto">
                          <a:xfrm>
                            <a:off x="0" y="0"/>
                            <a:ext cx="1820545" cy="95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7648" w:rsidRPr="001766F9" w:rsidTr="003C7648">
        <w:trPr>
          <w:trHeight w:val="1200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Seguro Marítimo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</w:tr>
      <w:tr w:rsidR="003C7648" w:rsidRPr="001766F9" w:rsidTr="003C7648">
        <w:trPr>
          <w:trHeight w:val="154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Pérdidas en tránsito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</w:tr>
      <w:tr w:rsidR="003C7648" w:rsidRPr="001766F9" w:rsidTr="003C7648">
        <w:trPr>
          <w:trHeight w:val="5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Costo de internación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</w:tr>
      <w:tr w:rsidR="003C7648" w:rsidRPr="001766F9" w:rsidTr="003C7648">
        <w:trPr>
          <w:trHeight w:val="510"/>
        </w:trPr>
        <w:tc>
          <w:tcPr>
            <w:tcW w:w="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3C7648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Márgenes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minorista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3C7648" w:rsidRPr="001766F9" w:rsidTr="003C7648">
        <w:trPr>
          <w:trHeight w:val="525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mayorista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3C7648" w:rsidRPr="001766F9" w:rsidTr="003C7648">
        <w:trPr>
          <w:trHeight w:val="4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Zona Occidental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$0.044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$0.044</w:t>
            </w:r>
          </w:p>
        </w:tc>
      </w:tr>
      <w:tr w:rsidR="003C7648" w:rsidRPr="001766F9" w:rsidTr="003C7648">
        <w:trPr>
          <w:trHeight w:val="1140"/>
        </w:trPr>
        <w:tc>
          <w:tcPr>
            <w:tcW w:w="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Tributos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IEC Zona Occidental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</w:tr>
      <w:tr w:rsidR="003C7648" w:rsidRPr="001766F9" w:rsidTr="003C7648">
        <w:trPr>
          <w:trHeight w:val="30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FOVIAL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</w:tr>
      <w:tr w:rsidR="003C7648" w:rsidRPr="001766F9" w:rsidTr="003C7648">
        <w:trPr>
          <w:trHeight w:val="30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COTRANS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</w:tr>
      <w:tr w:rsidR="003C7648" w:rsidRPr="001766F9" w:rsidTr="003C7648">
        <w:trPr>
          <w:trHeight w:val="36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FEFE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</w:tr>
      <w:tr w:rsidR="003C7648" w:rsidRPr="001766F9" w:rsidTr="003C7648">
        <w:trPr>
          <w:trHeight w:val="4266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IVA Zona Occidental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occidental e IEC zona occidental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occidental e IEC zona occidental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occidental, IEC zona occidental y  FEFE 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occidental, IEC zona occidental y  FEFE </w:t>
            </w:r>
          </w:p>
        </w:tc>
      </w:tr>
      <w:tr w:rsidR="003C7648" w:rsidRPr="001766F9" w:rsidTr="003C7648">
        <w:trPr>
          <w:trHeight w:val="105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66F9" w:rsidRPr="001766F9" w:rsidRDefault="001766F9" w:rsidP="001766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de referencia Zona Occidental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6F9" w:rsidRPr="001766F9" w:rsidRDefault="001766F9" w:rsidP="001766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766F9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</w:tr>
    </w:tbl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Default="00165043" w:rsidP="007426DE">
      <w:pPr>
        <w:spacing w:line="240" w:lineRule="auto"/>
        <w:rPr>
          <w:b/>
          <w:sz w:val="20"/>
        </w:rPr>
      </w:pPr>
    </w:p>
    <w:p w:rsidR="00165043" w:rsidRPr="00DB197E" w:rsidRDefault="00165043" w:rsidP="007426DE">
      <w:pPr>
        <w:spacing w:line="240" w:lineRule="auto"/>
        <w:rPr>
          <w:sz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1613"/>
        <w:gridCol w:w="1843"/>
        <w:gridCol w:w="1559"/>
        <w:gridCol w:w="1559"/>
        <w:gridCol w:w="1962"/>
      </w:tblGrid>
      <w:tr w:rsidR="00165043" w:rsidRPr="00165043" w:rsidTr="00165043">
        <w:trPr>
          <w:trHeight w:val="75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8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Precios de referencia para los combustibles líquidos Zona Oriental</w:t>
            </w:r>
          </w:p>
        </w:tc>
      </w:tr>
      <w:tr w:rsidR="00165043" w:rsidRPr="00165043" w:rsidTr="00165043">
        <w:trPr>
          <w:trHeight w:val="9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Detalle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Diésel bajo en azufre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Regular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Gasolina Especial</w:t>
            </w:r>
          </w:p>
        </w:tc>
      </w:tr>
      <w:tr w:rsidR="00165043" w:rsidRPr="00165043" w:rsidTr="00165043">
        <w:trPr>
          <w:trHeight w:val="660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CIF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FOB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65043" w:rsidRPr="00165043" w:rsidTr="00165043">
        <w:trPr>
          <w:trHeight w:val="235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Ajuste de calidad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Costo del aditivo multiplicado por la cantidad porcentual para que un galón de diésel con índice de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cetano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40 llegue al valor de 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0.028*(Promedio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– 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Butano normal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Mt.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Belvieu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) + ((Promedio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UNL-87  – Promedio 6 meses Precio </w:t>
            </w:r>
            <w:proofErr w:type="spellStart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Platt’s</w:t>
            </w:r>
            <w:proofErr w:type="spellEnd"/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 UNL-93)/6)*4       </w:t>
            </w:r>
          </w:p>
        </w:tc>
      </w:tr>
      <w:tr w:rsidR="00165043" w:rsidRPr="00165043" w:rsidTr="00DD6F08">
        <w:trPr>
          <w:trHeight w:val="148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Marítimo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132715</wp:posOffset>
                  </wp:positionV>
                  <wp:extent cx="2035175" cy="682625"/>
                  <wp:effectExtent l="0" t="0" r="3175" b="3175"/>
                  <wp:wrapThrough wrapText="bothSides">
                    <wp:wrapPolygon edited="0">
                      <wp:start x="0" y="0"/>
                      <wp:lineTo x="0" y="21098"/>
                      <wp:lineTo x="21432" y="21098"/>
                      <wp:lineTo x="21432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8495" t="43769" r="15360" b="31694"/>
                          <a:stretch/>
                        </pic:blipFill>
                        <pic:spPr bwMode="auto">
                          <a:xfrm>
                            <a:off x="0" y="0"/>
                            <a:ext cx="2035175" cy="68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DD6F08" w:rsidP="00DD6F0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>
              <w:rPr>
                <w:noProof/>
                <w:lang w:eastAsia="es-SV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-1905</wp:posOffset>
                  </wp:positionV>
                  <wp:extent cx="1820545" cy="953770"/>
                  <wp:effectExtent l="0" t="0" r="8255" b="0"/>
                  <wp:wrapThrough wrapText="bothSides">
                    <wp:wrapPolygon edited="0">
                      <wp:start x="0" y="0"/>
                      <wp:lineTo x="0" y="21140"/>
                      <wp:lineTo x="21472" y="21140"/>
                      <wp:lineTo x="21472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383" t="51104" r="22847" b="21135"/>
                          <a:stretch/>
                        </pic:blipFill>
                        <pic:spPr bwMode="auto">
                          <a:xfrm>
                            <a:off x="0" y="0"/>
                            <a:ext cx="1820545" cy="95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5043" w:rsidRPr="00165043" w:rsidTr="00165043">
        <w:trPr>
          <w:trHeight w:val="1200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Seguro Marítimo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0.0375 % a la sumatoria del precio FOB del producto y el flete marítimo. </w:t>
            </w:r>
          </w:p>
        </w:tc>
      </w:tr>
      <w:tr w:rsidR="00165043" w:rsidRPr="00165043" w:rsidTr="00165043">
        <w:trPr>
          <w:trHeight w:val="1545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Pérdidas en tránsito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Resultan de aplicar la tasa de 0.13% a la sumatoria del precio FOB del producto, el flete marítimo y el seguro marítimo.</w:t>
            </w:r>
          </w:p>
        </w:tc>
      </w:tr>
      <w:tr w:rsidR="00165043" w:rsidRPr="00165043" w:rsidTr="00165043">
        <w:trPr>
          <w:trHeight w:val="555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Costo de internación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$0.0300</w:t>
            </w:r>
          </w:p>
        </w:tc>
      </w:tr>
      <w:tr w:rsidR="00165043" w:rsidRPr="00165043" w:rsidTr="00165043">
        <w:trPr>
          <w:trHeight w:val="510"/>
        </w:trPr>
        <w:tc>
          <w:tcPr>
            <w:tcW w:w="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Márgenes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minorista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65043" w:rsidRPr="00165043" w:rsidTr="00165043">
        <w:trPr>
          <w:trHeight w:val="525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Margen mayorista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CONFIDENCIAL</w:t>
            </w:r>
          </w:p>
        </w:tc>
      </w:tr>
      <w:tr w:rsidR="00165043" w:rsidRPr="00165043" w:rsidTr="00165043">
        <w:trPr>
          <w:trHeight w:val="4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Flete Zona Oriental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$0.074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$0.074</w:t>
            </w:r>
          </w:p>
        </w:tc>
      </w:tr>
      <w:tr w:rsidR="00165043" w:rsidRPr="00165043" w:rsidTr="00165043">
        <w:trPr>
          <w:trHeight w:val="1140"/>
        </w:trPr>
        <w:tc>
          <w:tcPr>
            <w:tcW w:w="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Tributos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IEC Zona Oriental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Costo variable determinado por el precio internacional del barril del crudo del WTI</w:t>
            </w:r>
          </w:p>
        </w:tc>
      </w:tr>
      <w:tr w:rsidR="00165043" w:rsidRPr="00165043" w:rsidTr="00165043">
        <w:trPr>
          <w:trHeight w:val="30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FOVIAL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$0.20</w:t>
            </w:r>
          </w:p>
        </w:tc>
      </w:tr>
      <w:tr w:rsidR="00165043" w:rsidRPr="00165043" w:rsidTr="00165043">
        <w:trPr>
          <w:trHeight w:val="30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COTRANS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$0.10</w:t>
            </w:r>
          </w:p>
        </w:tc>
      </w:tr>
      <w:tr w:rsidR="00165043" w:rsidRPr="00165043" w:rsidTr="00165043">
        <w:trPr>
          <w:trHeight w:val="360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FEFE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N/A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$0.1591</w:t>
            </w:r>
          </w:p>
        </w:tc>
      </w:tr>
      <w:tr w:rsidR="00165043" w:rsidRPr="00165043" w:rsidTr="00165043">
        <w:trPr>
          <w:trHeight w:val="3405"/>
        </w:trPr>
        <w:tc>
          <w:tcPr>
            <w:tcW w:w="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IVA Zona Oriental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oriental e IEC zona oriental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oriental e IEC zona oriental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oriental, IEC zona oriental y  FEFE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 xml:space="preserve">Resulta de aplicar la tasa de 13 % a la sumatoria del precio FOB del producto, ajuste de calidad, flete marítimo, seguro marítimo, pérdidas en tránsito, costo de internación, margen mayorista, margen minorista, flete de zona oriental, IEC zona oriental y  FEFE </w:t>
            </w:r>
          </w:p>
        </w:tc>
      </w:tr>
      <w:tr w:rsidR="00165043" w:rsidRPr="00165043" w:rsidTr="00165043">
        <w:trPr>
          <w:trHeight w:val="105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043" w:rsidRPr="00165043" w:rsidRDefault="00165043" w:rsidP="001650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SV"/>
              </w:rPr>
              <w:t>Precio de referencia Zona Oriental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5043" w:rsidRPr="00165043" w:rsidRDefault="00165043" w:rsidP="001650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</w:pPr>
            <w:r w:rsidRPr="00165043">
              <w:rPr>
                <w:rFonts w:eastAsia="Times New Roman" w:cs="Times New Roman"/>
                <w:color w:val="000000"/>
                <w:sz w:val="18"/>
                <w:szCs w:val="18"/>
                <w:lang w:eastAsia="es-SV"/>
              </w:rPr>
              <w:t>Sumatoria de todos los eslabones de la fórmula anteriores</w:t>
            </w:r>
          </w:p>
        </w:tc>
      </w:tr>
    </w:tbl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165043" w:rsidRDefault="00165043" w:rsidP="00812BA3">
      <w:pPr>
        <w:jc w:val="center"/>
      </w:pPr>
    </w:p>
    <w:p w:rsidR="00D1229D" w:rsidRPr="00812BA3" w:rsidRDefault="00D1229D" w:rsidP="00812BA3">
      <w:pPr>
        <w:jc w:val="center"/>
        <w:rPr>
          <w:b/>
          <w:sz w:val="24"/>
        </w:rPr>
      </w:pPr>
      <w:r w:rsidRPr="00812BA3">
        <w:rPr>
          <w:b/>
          <w:sz w:val="24"/>
        </w:rPr>
        <w:lastRenderedPageBreak/>
        <w:t>Fórmula de los precios de referencias para los combustibles</w:t>
      </w:r>
    </w:p>
    <w:p w:rsidR="002547F1" w:rsidRPr="00FA07DA" w:rsidRDefault="00FA07DA" w:rsidP="00FF45AA">
      <w:pPr>
        <w:rPr>
          <w:b/>
          <w:sz w:val="20"/>
        </w:rPr>
      </w:pPr>
      <w:r w:rsidRPr="00FA07DA">
        <w:rPr>
          <w:b/>
          <w:sz w:val="20"/>
          <w:lang w:val="en-US"/>
        </w:rPr>
        <w:t xml:space="preserve">PC= PCIF + CI + FL + MM + </w:t>
      </w:r>
      <w:proofErr w:type="spellStart"/>
      <w:r w:rsidRPr="00FA07DA">
        <w:rPr>
          <w:b/>
          <w:sz w:val="20"/>
          <w:lang w:val="en-US"/>
        </w:rPr>
        <w:t>MMin</w:t>
      </w:r>
      <w:proofErr w:type="spellEnd"/>
      <w:r w:rsidRPr="00FA07DA">
        <w:rPr>
          <w:b/>
          <w:sz w:val="20"/>
          <w:lang w:val="en-US"/>
        </w:rPr>
        <w:t xml:space="preserve">. </w:t>
      </w:r>
      <w:r w:rsidRPr="00FA07DA">
        <w:rPr>
          <w:b/>
          <w:sz w:val="20"/>
        </w:rPr>
        <w:t>+ T</w:t>
      </w:r>
    </w:p>
    <w:p w:rsidR="00FA07DA" w:rsidRPr="00363E0E" w:rsidRDefault="00FA07DA" w:rsidP="00FF45AA">
      <w:pPr>
        <w:rPr>
          <w:sz w:val="20"/>
        </w:rPr>
      </w:pPr>
      <w:r w:rsidRPr="00363E0E">
        <w:rPr>
          <w:sz w:val="20"/>
        </w:rPr>
        <w:t xml:space="preserve">En donde: </w:t>
      </w:r>
    </w:p>
    <w:p w:rsidR="00FA07DA" w:rsidRPr="00363E0E" w:rsidRDefault="00FA07DA" w:rsidP="00FF45AA">
      <w:pPr>
        <w:rPr>
          <w:sz w:val="20"/>
        </w:rPr>
      </w:pPr>
      <w:r w:rsidRPr="00363E0E">
        <w:rPr>
          <w:b/>
          <w:sz w:val="20"/>
        </w:rPr>
        <w:t>PC:</w:t>
      </w:r>
      <w:r w:rsidRPr="00363E0E">
        <w:rPr>
          <w:sz w:val="20"/>
        </w:rPr>
        <w:t xml:space="preserve"> Precio Consumidor en estación de servicio.</w:t>
      </w:r>
    </w:p>
    <w:p w:rsidR="00FA07DA" w:rsidRPr="00363E0E" w:rsidRDefault="00FA07DA" w:rsidP="00FF45AA">
      <w:pPr>
        <w:rPr>
          <w:sz w:val="20"/>
        </w:rPr>
      </w:pPr>
      <w:r w:rsidRPr="00363E0E">
        <w:rPr>
          <w:b/>
          <w:sz w:val="20"/>
        </w:rPr>
        <w:t>PCIF:</w:t>
      </w:r>
      <w:r w:rsidRPr="00363E0E">
        <w:rPr>
          <w:sz w:val="20"/>
        </w:rPr>
        <w:t xml:space="preserve"> Precio CIF para cada producto.</w:t>
      </w:r>
    </w:p>
    <w:p w:rsidR="00FA07DA" w:rsidRPr="00363E0E" w:rsidRDefault="00FA07DA" w:rsidP="00FF45AA">
      <w:pPr>
        <w:rPr>
          <w:sz w:val="20"/>
        </w:rPr>
      </w:pPr>
      <w:r w:rsidRPr="00363E0E">
        <w:rPr>
          <w:b/>
          <w:sz w:val="20"/>
        </w:rPr>
        <w:t>CI:</w:t>
      </w:r>
      <w:r w:rsidRPr="00363E0E">
        <w:rPr>
          <w:sz w:val="20"/>
        </w:rPr>
        <w:t xml:space="preserve"> Costo de Internación.</w:t>
      </w:r>
    </w:p>
    <w:p w:rsidR="00FA07DA" w:rsidRPr="00363E0E" w:rsidRDefault="00FA07DA" w:rsidP="00FF45AA">
      <w:pPr>
        <w:rPr>
          <w:sz w:val="20"/>
        </w:rPr>
      </w:pPr>
      <w:r w:rsidRPr="00363E0E">
        <w:rPr>
          <w:b/>
          <w:sz w:val="20"/>
        </w:rPr>
        <w:t>MM:</w:t>
      </w:r>
      <w:r w:rsidRPr="00363E0E">
        <w:rPr>
          <w:sz w:val="20"/>
        </w:rPr>
        <w:t xml:space="preserve"> Margen del mayorista (importador-distribuidor).</w:t>
      </w:r>
    </w:p>
    <w:p w:rsidR="00FA07DA" w:rsidRPr="00363E0E" w:rsidRDefault="00363E0E" w:rsidP="00FF45AA">
      <w:pPr>
        <w:rPr>
          <w:sz w:val="20"/>
        </w:rPr>
      </w:pPr>
      <w:proofErr w:type="spellStart"/>
      <w:r w:rsidRPr="00363E0E">
        <w:rPr>
          <w:b/>
          <w:sz w:val="20"/>
        </w:rPr>
        <w:t>MMin</w:t>
      </w:r>
      <w:proofErr w:type="spellEnd"/>
      <w:r w:rsidRPr="00363E0E">
        <w:rPr>
          <w:b/>
          <w:sz w:val="20"/>
        </w:rPr>
        <w:t>.</w:t>
      </w:r>
      <w:r w:rsidR="00FA07DA" w:rsidRPr="00363E0E">
        <w:rPr>
          <w:b/>
          <w:sz w:val="20"/>
        </w:rPr>
        <w:t>:</w:t>
      </w:r>
      <w:r w:rsidR="00FA07DA" w:rsidRPr="00363E0E">
        <w:rPr>
          <w:sz w:val="20"/>
        </w:rPr>
        <w:t xml:space="preserve"> Margen del minorista (estación de servicio).</w:t>
      </w:r>
    </w:p>
    <w:p w:rsidR="00363E0E" w:rsidRDefault="00363E0E" w:rsidP="00FF45AA">
      <w:pPr>
        <w:rPr>
          <w:sz w:val="20"/>
        </w:rPr>
      </w:pPr>
      <w:r w:rsidRPr="00363E0E">
        <w:rPr>
          <w:b/>
          <w:sz w:val="20"/>
        </w:rPr>
        <w:t>T:</w:t>
      </w:r>
      <w:r w:rsidRPr="00363E0E">
        <w:rPr>
          <w:sz w:val="20"/>
        </w:rPr>
        <w:t xml:space="preserve"> Tributos.</w:t>
      </w:r>
    </w:p>
    <w:p w:rsidR="00363E0E" w:rsidRDefault="00363E0E" w:rsidP="00FF45AA">
      <w:pPr>
        <w:rPr>
          <w:sz w:val="20"/>
        </w:rPr>
      </w:pPr>
    </w:p>
    <w:p w:rsidR="00363E0E" w:rsidRDefault="00363E0E" w:rsidP="00FF45AA">
      <w:pPr>
        <w:rPr>
          <w:sz w:val="20"/>
        </w:rPr>
      </w:pPr>
      <w:r w:rsidRPr="00363E0E">
        <w:rPr>
          <w:b/>
          <w:sz w:val="20"/>
        </w:rPr>
        <w:t>Precio CIF</w:t>
      </w:r>
      <w:r>
        <w:rPr>
          <w:sz w:val="20"/>
        </w:rPr>
        <w:t>, se define como precio CIF, el siguiente:</w:t>
      </w:r>
    </w:p>
    <w:p w:rsidR="00363E0E" w:rsidRPr="00363E0E" w:rsidRDefault="00363E0E" w:rsidP="00FF45AA">
      <w:pPr>
        <w:rPr>
          <w:b/>
          <w:sz w:val="20"/>
          <w:lang w:val="en-US"/>
        </w:rPr>
      </w:pPr>
      <w:r w:rsidRPr="00363E0E">
        <w:rPr>
          <w:b/>
          <w:sz w:val="20"/>
          <w:lang w:val="en-US"/>
        </w:rPr>
        <w:t>PCIF= PFOB +AC + FM + PT + SM</w:t>
      </w:r>
    </w:p>
    <w:p w:rsidR="00363E0E" w:rsidRPr="00363E0E" w:rsidRDefault="00363E0E" w:rsidP="00363E0E">
      <w:pPr>
        <w:rPr>
          <w:sz w:val="20"/>
        </w:rPr>
      </w:pPr>
      <w:r w:rsidRPr="00363E0E">
        <w:rPr>
          <w:sz w:val="20"/>
        </w:rPr>
        <w:t xml:space="preserve">En donde: </w:t>
      </w:r>
    </w:p>
    <w:p w:rsidR="00363E0E" w:rsidRPr="00363E0E" w:rsidRDefault="00363E0E" w:rsidP="00FF45AA">
      <w:pPr>
        <w:rPr>
          <w:sz w:val="20"/>
        </w:rPr>
      </w:pPr>
      <w:r w:rsidRPr="00363E0E">
        <w:rPr>
          <w:b/>
          <w:sz w:val="20"/>
        </w:rPr>
        <w:t>PFOB:</w:t>
      </w:r>
      <w:r>
        <w:rPr>
          <w:b/>
          <w:sz w:val="20"/>
        </w:rPr>
        <w:t xml:space="preserve"> </w:t>
      </w:r>
      <w:r>
        <w:rPr>
          <w:sz w:val="20"/>
        </w:rPr>
        <w:t>Precio FOB de cada producto</w:t>
      </w:r>
      <w:r w:rsidR="00CC5925">
        <w:rPr>
          <w:sz w:val="20"/>
        </w:rPr>
        <w:t xml:space="preserve"> (datos sujetos a acuerdo de confidencialidad por el sistema </w:t>
      </w:r>
      <w:proofErr w:type="spellStart"/>
      <w:r w:rsidR="00CC5925">
        <w:rPr>
          <w:sz w:val="20"/>
        </w:rPr>
        <w:t>Platt´s</w:t>
      </w:r>
      <w:proofErr w:type="spellEnd"/>
      <w:r w:rsidR="00CC5925">
        <w:rPr>
          <w:sz w:val="20"/>
        </w:rPr>
        <w:t xml:space="preserve"> que capta los precios del producto)</w:t>
      </w:r>
      <w:r>
        <w:rPr>
          <w:sz w:val="20"/>
        </w:rPr>
        <w:t>.</w:t>
      </w:r>
    </w:p>
    <w:p w:rsidR="00363E0E" w:rsidRDefault="00363E0E" w:rsidP="00FF45AA">
      <w:pPr>
        <w:rPr>
          <w:sz w:val="20"/>
        </w:rPr>
      </w:pPr>
      <w:r w:rsidRPr="00363E0E">
        <w:rPr>
          <w:b/>
          <w:sz w:val="20"/>
        </w:rPr>
        <w:t>AC:</w:t>
      </w:r>
      <w:r>
        <w:rPr>
          <w:b/>
          <w:sz w:val="20"/>
        </w:rPr>
        <w:t xml:space="preserve"> </w:t>
      </w:r>
      <w:r>
        <w:rPr>
          <w:sz w:val="20"/>
        </w:rPr>
        <w:t>Ajuste de calidad.</w:t>
      </w:r>
    </w:p>
    <w:p w:rsidR="00CC5925" w:rsidRDefault="00CC5925" w:rsidP="00FF45AA">
      <w:pPr>
        <w:rPr>
          <w:sz w:val="20"/>
        </w:rPr>
      </w:pPr>
      <w:r>
        <w:rPr>
          <w:sz w:val="20"/>
        </w:rPr>
        <w:t xml:space="preserve">Para el caso de las gasolinas, el ajuste de calidad considera un </w:t>
      </w:r>
      <w:r w:rsidRPr="0069415D">
        <w:rPr>
          <w:b/>
          <w:sz w:val="20"/>
        </w:rPr>
        <w:t>ajuste por octanaje</w:t>
      </w:r>
      <w:r>
        <w:rPr>
          <w:sz w:val="20"/>
        </w:rPr>
        <w:t xml:space="preserve"> y </w:t>
      </w:r>
      <w:r w:rsidRPr="0069415D">
        <w:rPr>
          <w:sz w:val="20"/>
        </w:rPr>
        <w:t>otro</w:t>
      </w:r>
      <w:r w:rsidRPr="0069415D">
        <w:rPr>
          <w:b/>
          <w:sz w:val="20"/>
        </w:rPr>
        <w:t xml:space="preserve"> por presión de vapor</w:t>
      </w:r>
      <w:r w:rsidR="0069415D">
        <w:rPr>
          <w:b/>
          <w:sz w:val="20"/>
        </w:rPr>
        <w:t xml:space="preserve"> (RVP)</w:t>
      </w:r>
      <w:r>
        <w:rPr>
          <w:sz w:val="20"/>
        </w:rPr>
        <w:t>.</w:t>
      </w:r>
    </w:p>
    <w:p w:rsidR="0069415D" w:rsidRPr="0069415D" w:rsidRDefault="0069415D" w:rsidP="00FF45AA">
      <w:pPr>
        <w:rPr>
          <w:b/>
          <w:sz w:val="20"/>
        </w:rPr>
      </w:pPr>
      <w:r>
        <w:rPr>
          <w:b/>
          <w:sz w:val="20"/>
        </w:rPr>
        <w:t xml:space="preserve">Ajuste por </w:t>
      </w:r>
      <w:r w:rsidRPr="0069415D">
        <w:rPr>
          <w:b/>
          <w:sz w:val="20"/>
        </w:rPr>
        <w:t>Octanaje</w:t>
      </w:r>
    </w:p>
    <w:p w:rsidR="00CC5925" w:rsidRPr="0069415D" w:rsidRDefault="00CC5925" w:rsidP="00FF45AA">
      <w:pPr>
        <w:rPr>
          <w:rFonts w:eastAsiaTheme="minorEastAsia"/>
          <w:sz w:val="20"/>
          <w:u w:val="single"/>
        </w:rPr>
      </w:pPr>
      <w:r w:rsidRPr="0069415D">
        <w:rPr>
          <w:sz w:val="20"/>
          <w:u w:val="single"/>
        </w:rPr>
        <w:t>Gasolina superior (especial)</w:t>
      </w:r>
    </w:p>
    <w:p w:rsidR="001C6C60" w:rsidRDefault="001C6C60" w:rsidP="00FF45AA">
      <w:pPr>
        <w:rPr>
          <w:rFonts w:eastAsiaTheme="minorEastAsia"/>
          <w:sz w:val="20"/>
        </w:rPr>
      </w:pPr>
      <w:r>
        <w:rPr>
          <w:sz w:val="20"/>
        </w:rPr>
        <w:t xml:space="preserve">AC Octano  </w:t>
      </w:r>
      <m:oMath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Promedio 6 meses precios Platt´s UNL 87 - Promedio 6 meses precios Platt´s UNL 93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0"/>
          </w:rPr>
          <m:t>×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4</m:t>
            </m:r>
          </m:e>
        </m:d>
      </m:oMath>
    </w:p>
    <w:p w:rsidR="0069415D" w:rsidRPr="0069415D" w:rsidRDefault="0069415D" w:rsidP="0069415D">
      <w:pPr>
        <w:rPr>
          <w:rFonts w:eastAsiaTheme="minorEastAsia"/>
          <w:sz w:val="20"/>
          <w:u w:val="single"/>
        </w:rPr>
      </w:pPr>
      <w:r>
        <w:rPr>
          <w:sz w:val="20"/>
          <w:u w:val="single"/>
        </w:rPr>
        <w:t>Gasolina regular</w:t>
      </w:r>
    </w:p>
    <w:p w:rsidR="0069415D" w:rsidRDefault="0069415D" w:rsidP="0069415D">
      <w:pPr>
        <w:rPr>
          <w:rFonts w:eastAsiaTheme="minorEastAsia"/>
          <w:sz w:val="20"/>
        </w:rPr>
      </w:pPr>
      <w:r>
        <w:rPr>
          <w:sz w:val="20"/>
        </w:rPr>
        <w:t xml:space="preserve">AC Octano  </w:t>
      </w:r>
      <m:oMath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</w:rPr>
                  <m:t>Promedio 6 meses precios Platt´s UNL 87 - Promedio 6 meses precios Platt´s UNL 93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0"/>
          </w:rPr>
          <m:t>×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</m:t>
            </m:r>
          </m:e>
        </m:d>
      </m:oMath>
    </w:p>
    <w:p w:rsidR="0069415D" w:rsidRPr="0069415D" w:rsidRDefault="0069415D" w:rsidP="00FF45AA">
      <w:pPr>
        <w:rPr>
          <w:rFonts w:eastAsiaTheme="minorEastAsia"/>
          <w:b/>
          <w:sz w:val="20"/>
        </w:rPr>
      </w:pPr>
      <w:r w:rsidRPr="0069415D">
        <w:rPr>
          <w:rFonts w:eastAsiaTheme="minorEastAsia"/>
          <w:b/>
          <w:sz w:val="20"/>
        </w:rPr>
        <w:t>Ajuste por presión de vapor (RVP)</w:t>
      </w:r>
    </w:p>
    <w:p w:rsidR="0069415D" w:rsidRPr="0069415D" w:rsidRDefault="0069415D" w:rsidP="00FF45AA">
      <w:pPr>
        <w:rPr>
          <w:rFonts w:eastAsiaTheme="minorEastAsia"/>
          <w:sz w:val="20"/>
          <w:u w:val="single"/>
        </w:rPr>
      </w:pPr>
      <w:r w:rsidRPr="0069415D">
        <w:rPr>
          <w:rFonts w:eastAsiaTheme="minorEastAsia"/>
          <w:sz w:val="20"/>
          <w:u w:val="single"/>
        </w:rPr>
        <w:t>Gasolinas superior y regular</w:t>
      </w:r>
    </w:p>
    <w:p w:rsidR="0069415D" w:rsidRDefault="0069415D" w:rsidP="00FF45AA">
      <w:pPr>
        <w:rPr>
          <w:rFonts w:eastAsiaTheme="minorEastAsia"/>
          <w:sz w:val="18"/>
        </w:rPr>
      </w:pPr>
      <w:r w:rsidRPr="00B14A21">
        <w:rPr>
          <w:rFonts w:eastAsiaTheme="minorEastAsia"/>
          <w:sz w:val="20"/>
        </w:rPr>
        <w:t xml:space="preserve">AC RVP </w:t>
      </w:r>
      <m:oMath>
        <m:r>
          <w:rPr>
            <w:rFonts w:ascii="Cambria Math" w:eastAsiaTheme="minorEastAsia" w:hAnsi="Cambria Math"/>
            <w:sz w:val="18"/>
          </w:rPr>
          <m:t>=0.028 ×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18"/>
              </w:rPr>
              <m:t>Promedio 6 meses precios Platt´s UNL 87 - Promedio 6 meses precios Platt´s UNL 93</m:t>
            </m:r>
          </m:e>
        </m:d>
      </m:oMath>
    </w:p>
    <w:p w:rsidR="00812BA3" w:rsidRDefault="00D1229D" w:rsidP="00FF45AA">
      <w:pPr>
        <w:rPr>
          <w:rFonts w:eastAsiaTheme="minorEastAsia"/>
          <w:sz w:val="20"/>
        </w:rPr>
      </w:pPr>
      <w:r w:rsidRPr="00D1229D">
        <w:rPr>
          <w:rFonts w:eastAsiaTheme="minorEastAsia"/>
          <w:sz w:val="20"/>
        </w:rPr>
        <w:t xml:space="preserve">Para el caso de ambos </w:t>
      </w:r>
      <w:r w:rsidR="00812BA3" w:rsidRPr="00D1229D">
        <w:rPr>
          <w:rFonts w:eastAsiaTheme="minorEastAsia"/>
          <w:sz w:val="20"/>
        </w:rPr>
        <w:t>t</w:t>
      </w:r>
      <w:r w:rsidR="00812BA3">
        <w:rPr>
          <w:rFonts w:eastAsiaTheme="minorEastAsia"/>
          <w:sz w:val="20"/>
        </w:rPr>
        <w:t>ipos</w:t>
      </w:r>
      <w:r>
        <w:rPr>
          <w:rFonts w:eastAsiaTheme="minorEastAsia"/>
          <w:sz w:val="20"/>
        </w:rPr>
        <w:t xml:space="preserve"> de diésel </w:t>
      </w:r>
      <w:r w:rsidR="00812BA3">
        <w:rPr>
          <w:rFonts w:eastAsiaTheme="minorEastAsia"/>
          <w:sz w:val="20"/>
        </w:rPr>
        <w:t xml:space="preserve"> se calculará utilizando el c</w:t>
      </w:r>
      <w:r w:rsidR="00812BA3" w:rsidRPr="00812BA3">
        <w:rPr>
          <w:rFonts w:eastAsiaTheme="minorEastAsia"/>
          <w:sz w:val="20"/>
        </w:rPr>
        <w:t xml:space="preserve">osto del aditivo multiplicado por la cantidad porcentual para que un galón de diésel con índice de </w:t>
      </w:r>
      <w:proofErr w:type="spellStart"/>
      <w:r w:rsidR="00812BA3" w:rsidRPr="00812BA3">
        <w:rPr>
          <w:rFonts w:eastAsiaTheme="minorEastAsia"/>
          <w:sz w:val="20"/>
        </w:rPr>
        <w:t>cetano</w:t>
      </w:r>
      <w:proofErr w:type="spellEnd"/>
      <w:r w:rsidR="00812BA3" w:rsidRPr="00812BA3">
        <w:rPr>
          <w:rFonts w:eastAsiaTheme="minorEastAsia"/>
          <w:sz w:val="20"/>
        </w:rPr>
        <w:t xml:space="preserve"> 40 llegue al valor de 45</w:t>
      </w:r>
      <w:r w:rsidR="00812BA3">
        <w:rPr>
          <w:rFonts w:eastAsiaTheme="minorEastAsia"/>
          <w:sz w:val="20"/>
        </w:rPr>
        <w:t>.</w:t>
      </w:r>
    </w:p>
    <w:p w:rsidR="00363E0E" w:rsidRDefault="00363E0E" w:rsidP="00FF45AA">
      <w:pPr>
        <w:rPr>
          <w:sz w:val="20"/>
        </w:rPr>
      </w:pPr>
      <w:r w:rsidRPr="00363E0E">
        <w:rPr>
          <w:b/>
          <w:sz w:val="20"/>
        </w:rPr>
        <w:lastRenderedPageBreak/>
        <w:t>FM:</w:t>
      </w:r>
      <w:r>
        <w:rPr>
          <w:b/>
          <w:sz w:val="20"/>
        </w:rPr>
        <w:t xml:space="preserve"> </w:t>
      </w:r>
      <w:r>
        <w:rPr>
          <w:sz w:val="20"/>
        </w:rPr>
        <w:t>Flete marítimo.</w:t>
      </w:r>
    </w:p>
    <w:p w:rsidR="00812BA3" w:rsidRDefault="002F1C82" w:rsidP="00FF45AA">
      <w:pPr>
        <w:rPr>
          <w:sz w:val="20"/>
        </w:rPr>
      </w:pPr>
      <w:r>
        <w:rPr>
          <w:sz w:val="20"/>
        </w:rPr>
        <w:t>El flete marítimo para ambos tipos de diésel y las gasolinas en cada mes corresponde al promedio de los valores mensuales de flete de los seis meses anteriores.</w:t>
      </w:r>
    </w:p>
    <w:p w:rsidR="002F1C82" w:rsidRDefault="00012659" w:rsidP="00FF45AA">
      <w:pPr>
        <w:rPr>
          <w:sz w:val="20"/>
        </w:rPr>
      </w:pPr>
      <w:r>
        <w:rPr>
          <w:noProof/>
          <w:lang w:eastAsia="es-SV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163195</wp:posOffset>
            </wp:positionV>
            <wp:extent cx="3349625" cy="596265"/>
            <wp:effectExtent l="0" t="0" r="3175" b="0"/>
            <wp:wrapThrough wrapText="bothSides">
              <wp:wrapPolygon edited="0">
                <wp:start x="0" y="0"/>
                <wp:lineTo x="0" y="20703"/>
                <wp:lineTo x="21498" y="20703"/>
                <wp:lineTo x="2149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383" t="51104" r="22847" b="21135"/>
                    <a:stretch/>
                  </pic:blipFill>
                  <pic:spPr bwMode="auto">
                    <a:xfrm>
                      <a:off x="0" y="0"/>
                      <a:ext cx="3349625" cy="59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8585B">
        <w:rPr>
          <w:sz w:val="20"/>
        </w:rPr>
        <w:t xml:space="preserve">Para establecer el </w:t>
      </w:r>
      <w:r w:rsidR="007D525F">
        <w:rPr>
          <w:sz w:val="20"/>
        </w:rPr>
        <w:t xml:space="preserve">valor del </w:t>
      </w:r>
      <w:r w:rsidR="0058585B">
        <w:rPr>
          <w:sz w:val="20"/>
        </w:rPr>
        <w:t>flete en cada mes para las gasolinas se aplicará la siguiente fórmula:</w:t>
      </w:r>
    </w:p>
    <w:p w:rsidR="0058585B" w:rsidRDefault="0058585B" w:rsidP="00FF45AA">
      <w:pPr>
        <w:rPr>
          <w:sz w:val="20"/>
        </w:rPr>
      </w:pPr>
    </w:p>
    <w:p w:rsidR="00012659" w:rsidRDefault="00012659" w:rsidP="00FF45AA">
      <w:pPr>
        <w:rPr>
          <w:rFonts w:eastAsiaTheme="minorEastAsia"/>
          <w:sz w:val="20"/>
        </w:rPr>
      </w:pPr>
    </w:p>
    <w:p w:rsidR="007D525F" w:rsidRDefault="007D525F" w:rsidP="007D525F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Para el caso de ambos tipos de diésel, el flete en cada mes se c</w:t>
      </w:r>
      <w:r w:rsidR="00012659">
        <w:rPr>
          <w:rFonts w:eastAsiaTheme="minorEastAsia"/>
          <w:sz w:val="20"/>
        </w:rPr>
        <w:t>alculará de la siguiente manera:</w:t>
      </w:r>
    </w:p>
    <w:p w:rsidR="00012659" w:rsidRDefault="00012659" w:rsidP="007D525F">
      <w:pPr>
        <w:rPr>
          <w:rFonts w:eastAsiaTheme="minorEastAsia"/>
          <w:sz w:val="20"/>
        </w:rPr>
      </w:pPr>
      <w:r>
        <w:rPr>
          <w:noProof/>
          <w:lang w:eastAsia="es-SV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15875</wp:posOffset>
            </wp:positionV>
            <wp:extent cx="3699510" cy="484505"/>
            <wp:effectExtent l="0" t="0" r="0" b="0"/>
            <wp:wrapThrough wrapText="bothSides">
              <wp:wrapPolygon edited="0">
                <wp:start x="0" y="0"/>
                <wp:lineTo x="0" y="20383"/>
                <wp:lineTo x="21467" y="20383"/>
                <wp:lineTo x="2146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495" t="43769" r="15360" b="31694"/>
                    <a:stretch/>
                  </pic:blipFill>
                  <pic:spPr bwMode="auto">
                    <a:xfrm>
                      <a:off x="0" y="0"/>
                      <a:ext cx="3699510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12659" w:rsidRPr="00012659" w:rsidRDefault="00012659" w:rsidP="007D525F">
      <w:pPr>
        <w:rPr>
          <w:rFonts w:eastAsiaTheme="minorEastAsia"/>
          <w:sz w:val="20"/>
        </w:rPr>
      </w:pPr>
    </w:p>
    <w:p w:rsidR="007D525F" w:rsidRPr="009B4EB3" w:rsidRDefault="00E13184" w:rsidP="00FF45AA">
      <w:pPr>
        <w:rPr>
          <w:rFonts w:eastAsiaTheme="minorEastAsia"/>
          <w:sz w:val="20"/>
        </w:rPr>
      </w:pPr>
      <w:r w:rsidRPr="009B4EB3">
        <w:rPr>
          <w:rFonts w:eastAsiaTheme="minorEastAsia"/>
          <w:sz w:val="20"/>
        </w:rPr>
        <w:t>Siendo:</w:t>
      </w:r>
    </w:p>
    <w:p w:rsidR="00E13184" w:rsidRDefault="00E13184" w:rsidP="00FF45AA">
      <w:pPr>
        <w:rPr>
          <w:rFonts w:eastAsiaTheme="minorEastAsia"/>
          <w:sz w:val="20"/>
        </w:rPr>
      </w:pPr>
      <w:proofErr w:type="spellStart"/>
      <w:r w:rsidRPr="009B4EB3">
        <w:rPr>
          <w:rFonts w:eastAsiaTheme="minorEastAsia"/>
          <w:b/>
          <w:sz w:val="20"/>
        </w:rPr>
        <w:t>Flats</w:t>
      </w:r>
      <w:proofErr w:type="spellEnd"/>
      <w:r w:rsidRPr="009B4EB3">
        <w:rPr>
          <w:rFonts w:eastAsiaTheme="minorEastAsia"/>
          <w:b/>
          <w:sz w:val="20"/>
        </w:rPr>
        <w:t>:</w:t>
      </w:r>
      <w:r w:rsidR="009B4EB3">
        <w:rPr>
          <w:rFonts w:eastAsiaTheme="minorEastAsia"/>
          <w:sz w:val="20"/>
        </w:rPr>
        <w:t xml:space="preserve"> Es la tarifa anual </w:t>
      </w:r>
      <w:proofErr w:type="spellStart"/>
      <w:r w:rsidR="009B4EB3">
        <w:rPr>
          <w:rFonts w:eastAsiaTheme="minorEastAsia"/>
          <w:sz w:val="20"/>
        </w:rPr>
        <w:t>Worldscale</w:t>
      </w:r>
      <w:proofErr w:type="spellEnd"/>
      <w:r w:rsidR="009B4EB3">
        <w:rPr>
          <w:rFonts w:eastAsiaTheme="minorEastAsia"/>
          <w:sz w:val="20"/>
        </w:rPr>
        <w:t xml:space="preserve"> </w:t>
      </w:r>
      <w:proofErr w:type="spellStart"/>
      <w:r w:rsidR="009B4EB3">
        <w:rPr>
          <w:rFonts w:eastAsiaTheme="minorEastAsia"/>
          <w:sz w:val="20"/>
        </w:rPr>
        <w:t>Flats</w:t>
      </w:r>
      <w:proofErr w:type="spellEnd"/>
      <w:r w:rsidR="009B4EB3">
        <w:rPr>
          <w:rFonts w:eastAsiaTheme="minorEastAsia"/>
          <w:sz w:val="20"/>
        </w:rPr>
        <w:t xml:space="preserve"> publicada por </w:t>
      </w:r>
      <w:proofErr w:type="spellStart"/>
      <w:r w:rsidR="009B4EB3">
        <w:rPr>
          <w:rFonts w:eastAsiaTheme="minorEastAsia"/>
          <w:sz w:val="20"/>
        </w:rPr>
        <w:t>Worldscale</w:t>
      </w:r>
      <w:proofErr w:type="spellEnd"/>
      <w:r w:rsidR="009B4EB3">
        <w:rPr>
          <w:rFonts w:eastAsiaTheme="minorEastAsia"/>
          <w:sz w:val="20"/>
        </w:rPr>
        <w:t xml:space="preserve"> </w:t>
      </w:r>
      <w:proofErr w:type="spellStart"/>
      <w:r w:rsidR="009B4EB3">
        <w:rPr>
          <w:rFonts w:eastAsiaTheme="minorEastAsia"/>
          <w:sz w:val="20"/>
        </w:rPr>
        <w:t>Association</w:t>
      </w:r>
      <w:proofErr w:type="spellEnd"/>
      <w:r w:rsidR="009B4EB3">
        <w:rPr>
          <w:rFonts w:eastAsiaTheme="minorEastAsia"/>
          <w:sz w:val="20"/>
        </w:rPr>
        <w:t xml:space="preserve"> para la ruta USGC – </w:t>
      </w:r>
      <w:proofErr w:type="spellStart"/>
      <w:r w:rsidR="009B4EB3">
        <w:rPr>
          <w:rFonts w:eastAsiaTheme="minorEastAsia"/>
          <w:sz w:val="20"/>
        </w:rPr>
        <w:t>Acajutla</w:t>
      </w:r>
      <w:proofErr w:type="spellEnd"/>
      <w:r w:rsidR="009B4EB3">
        <w:rPr>
          <w:rFonts w:eastAsiaTheme="minorEastAsia"/>
          <w:sz w:val="20"/>
        </w:rPr>
        <w:t xml:space="preserve"> (ES) – San Jose (GUA) – San Lorenzo (HON) para un buque de 38,000 </w:t>
      </w:r>
      <w:proofErr w:type="spellStart"/>
      <w:r w:rsidR="009B4EB3">
        <w:rPr>
          <w:rFonts w:eastAsiaTheme="minorEastAsia"/>
          <w:sz w:val="20"/>
        </w:rPr>
        <w:t>tonelandas</w:t>
      </w:r>
      <w:proofErr w:type="spellEnd"/>
      <w:r w:rsidR="009B4EB3">
        <w:rPr>
          <w:rFonts w:eastAsiaTheme="minorEastAsia"/>
          <w:sz w:val="20"/>
        </w:rPr>
        <w:t xml:space="preserve"> métricas.</w:t>
      </w:r>
    </w:p>
    <w:p w:rsidR="009B4EB3" w:rsidRPr="009B4EB3" w:rsidRDefault="009B4EB3" w:rsidP="00FF45AA">
      <w:pPr>
        <w:rPr>
          <w:rFonts w:eastAsiaTheme="minorEastAsia"/>
          <w:sz w:val="20"/>
        </w:rPr>
      </w:pPr>
      <w:r w:rsidRPr="009B4EB3">
        <w:rPr>
          <w:rFonts w:eastAsiaTheme="minorEastAsia"/>
          <w:b/>
          <w:sz w:val="20"/>
        </w:rPr>
        <w:t>MW:</w:t>
      </w:r>
      <w:r>
        <w:rPr>
          <w:rFonts w:eastAsiaTheme="minorEastAsia"/>
          <w:b/>
          <w:sz w:val="20"/>
        </w:rPr>
        <w:t xml:space="preserve"> </w:t>
      </w:r>
      <w:r>
        <w:rPr>
          <w:rFonts w:eastAsiaTheme="minorEastAsia"/>
          <w:sz w:val="20"/>
        </w:rPr>
        <w:t xml:space="preserve">Multiplicador del </w:t>
      </w:r>
      <w:proofErr w:type="spellStart"/>
      <w:r>
        <w:rPr>
          <w:rFonts w:eastAsiaTheme="minorEastAsia"/>
          <w:sz w:val="20"/>
        </w:rPr>
        <w:t>World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Scale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Flats</w:t>
      </w:r>
      <w:proofErr w:type="spellEnd"/>
      <w:r>
        <w:rPr>
          <w:rFonts w:eastAsiaTheme="minorEastAsia"/>
          <w:sz w:val="20"/>
        </w:rPr>
        <w:t xml:space="preserve">, utilizándose el promedio de los últimos seis meses del valor publicado en el </w:t>
      </w:r>
      <w:proofErr w:type="spellStart"/>
      <w:r>
        <w:rPr>
          <w:rFonts w:eastAsiaTheme="minorEastAsia"/>
          <w:sz w:val="20"/>
        </w:rPr>
        <w:t>Platt´s</w:t>
      </w:r>
      <w:proofErr w:type="spellEnd"/>
      <w:r>
        <w:rPr>
          <w:rFonts w:eastAsiaTheme="minorEastAsia"/>
          <w:sz w:val="20"/>
        </w:rPr>
        <w:t xml:space="preserve"> Global </w:t>
      </w:r>
      <w:proofErr w:type="spellStart"/>
      <w:r>
        <w:rPr>
          <w:rFonts w:eastAsiaTheme="minorEastAsia"/>
          <w:sz w:val="20"/>
        </w:rPr>
        <w:t>Alert</w:t>
      </w:r>
      <w:proofErr w:type="spellEnd"/>
      <w:r>
        <w:rPr>
          <w:rFonts w:eastAsiaTheme="minorEastAsia"/>
          <w:sz w:val="20"/>
        </w:rPr>
        <w:t xml:space="preserve"> bajo el título </w:t>
      </w:r>
      <w:proofErr w:type="spellStart"/>
      <w:r>
        <w:rPr>
          <w:rFonts w:eastAsiaTheme="minorEastAsia"/>
          <w:sz w:val="20"/>
        </w:rPr>
        <w:t>Platt´s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Clean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tanker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rate</w:t>
      </w:r>
      <w:proofErr w:type="spellEnd"/>
      <w:r>
        <w:rPr>
          <w:rFonts w:eastAsiaTheme="minorEastAsia"/>
          <w:sz w:val="20"/>
        </w:rPr>
        <w:t xml:space="preserve"> </w:t>
      </w:r>
      <w:proofErr w:type="spellStart"/>
      <w:r>
        <w:rPr>
          <w:rFonts w:eastAsiaTheme="minorEastAsia"/>
          <w:sz w:val="20"/>
        </w:rPr>
        <w:t>assessments</w:t>
      </w:r>
      <w:proofErr w:type="spellEnd"/>
      <w:r>
        <w:rPr>
          <w:rFonts w:eastAsiaTheme="minorEastAsia"/>
          <w:sz w:val="20"/>
        </w:rPr>
        <w:t xml:space="preserve"> para buques de 38,000 toneladas métricas y la ruta USGC – </w:t>
      </w:r>
      <w:proofErr w:type="spellStart"/>
      <w:r>
        <w:rPr>
          <w:rFonts w:eastAsiaTheme="minorEastAsia"/>
          <w:sz w:val="20"/>
        </w:rPr>
        <w:t>Car</w:t>
      </w:r>
      <w:r w:rsidR="002E6C40">
        <w:rPr>
          <w:rFonts w:eastAsiaTheme="minorEastAsia"/>
          <w:sz w:val="20"/>
        </w:rPr>
        <w:t>i</w:t>
      </w:r>
      <w:r>
        <w:rPr>
          <w:rFonts w:eastAsiaTheme="minorEastAsia"/>
          <w:sz w:val="20"/>
        </w:rPr>
        <w:t>bbean</w:t>
      </w:r>
      <w:proofErr w:type="spellEnd"/>
      <w:r>
        <w:rPr>
          <w:rFonts w:eastAsiaTheme="minorEastAsia"/>
          <w:sz w:val="20"/>
        </w:rPr>
        <w:t>.</w:t>
      </w:r>
    </w:p>
    <w:p w:rsidR="009B4EB3" w:rsidRDefault="009B4EB3" w:rsidP="009B4EB3">
      <w:pPr>
        <w:rPr>
          <w:rFonts w:eastAsiaTheme="minorEastAsia"/>
          <w:sz w:val="20"/>
        </w:rPr>
      </w:pPr>
    </w:p>
    <w:p w:rsidR="009B4EB3" w:rsidRPr="00363E0E" w:rsidRDefault="009B4EB3" w:rsidP="009B4EB3">
      <w:pPr>
        <w:rPr>
          <w:sz w:val="20"/>
        </w:rPr>
      </w:pPr>
      <w:r>
        <w:rPr>
          <w:b/>
          <w:sz w:val="20"/>
        </w:rPr>
        <w:t xml:space="preserve">SM: </w:t>
      </w:r>
      <w:r>
        <w:rPr>
          <w:sz w:val="20"/>
        </w:rPr>
        <w:t>Seguro marítimo para las gasolinas y ambos tipos de diésel resulta de aplicar la tasa de 0.0375% a la sumatoria del precio FOB del producto y el flete marítimo.</w:t>
      </w:r>
    </w:p>
    <w:p w:rsidR="00363E0E" w:rsidRPr="00363E0E" w:rsidRDefault="00363E0E" w:rsidP="00FF45AA">
      <w:pPr>
        <w:rPr>
          <w:sz w:val="20"/>
        </w:rPr>
      </w:pPr>
      <w:r>
        <w:rPr>
          <w:b/>
          <w:sz w:val="20"/>
        </w:rPr>
        <w:t xml:space="preserve">PT: </w:t>
      </w:r>
      <w:r>
        <w:rPr>
          <w:sz w:val="20"/>
        </w:rPr>
        <w:t>Pérdidas en tránsito</w:t>
      </w:r>
      <w:r w:rsidR="009B4EB3">
        <w:rPr>
          <w:sz w:val="20"/>
        </w:rPr>
        <w:t xml:space="preserve"> para las gasolinas y ambos tipos de diésel resultan de aplicar la tasa de 0.13% a la s</w:t>
      </w:r>
      <w:r w:rsidR="001D5E46">
        <w:rPr>
          <w:sz w:val="20"/>
        </w:rPr>
        <w:t>umatoria del precio FOB</w:t>
      </w:r>
      <w:r w:rsidR="009B4EB3">
        <w:rPr>
          <w:sz w:val="20"/>
        </w:rPr>
        <w:t xml:space="preserve"> del producto, flete marítimo y seguro marítimo</w:t>
      </w:r>
      <w:r w:rsidR="00D54BD5">
        <w:rPr>
          <w:sz w:val="20"/>
        </w:rPr>
        <w:t>.</w:t>
      </w:r>
    </w:p>
    <w:p w:rsidR="00FA07DA" w:rsidRDefault="00D54BD5" w:rsidP="00FF45AA">
      <w:pPr>
        <w:rPr>
          <w:sz w:val="20"/>
        </w:rPr>
      </w:pPr>
      <w:r w:rsidRPr="00D54BD5">
        <w:rPr>
          <w:b/>
          <w:sz w:val="20"/>
        </w:rPr>
        <w:t>Costo de internación:</w:t>
      </w:r>
      <w:r>
        <w:rPr>
          <w:b/>
          <w:sz w:val="20"/>
        </w:rPr>
        <w:t xml:space="preserve"> </w:t>
      </w:r>
      <w:r>
        <w:rPr>
          <w:sz w:val="20"/>
        </w:rPr>
        <w:t xml:space="preserve">Se tomará como costo de internación </w:t>
      </w:r>
      <w:r w:rsidR="00F41BD0">
        <w:rPr>
          <w:sz w:val="20"/>
        </w:rPr>
        <w:t xml:space="preserve">el valor de $0.03 por galón de </w:t>
      </w:r>
      <w:r>
        <w:rPr>
          <w:sz w:val="20"/>
        </w:rPr>
        <w:t>a</w:t>
      </w:r>
      <w:r w:rsidR="00F41BD0">
        <w:rPr>
          <w:sz w:val="20"/>
        </w:rPr>
        <w:t>m</w:t>
      </w:r>
      <w:r>
        <w:rPr>
          <w:sz w:val="20"/>
        </w:rPr>
        <w:t>bos tipos de diésel y gasolinas.</w:t>
      </w:r>
    </w:p>
    <w:p w:rsidR="00D54BD5" w:rsidRDefault="00D54BD5" w:rsidP="00FF45AA">
      <w:pPr>
        <w:rPr>
          <w:sz w:val="20"/>
        </w:rPr>
      </w:pPr>
      <w:r w:rsidRPr="00D54BD5">
        <w:rPr>
          <w:b/>
          <w:sz w:val="20"/>
        </w:rPr>
        <w:t>Flete local:</w:t>
      </w:r>
      <w:r>
        <w:rPr>
          <w:b/>
          <w:sz w:val="20"/>
        </w:rPr>
        <w:t xml:space="preserve"> </w:t>
      </w:r>
      <w:r w:rsidR="00B14A21">
        <w:rPr>
          <w:sz w:val="20"/>
        </w:rPr>
        <w:t>Se reconocen fletes di</w:t>
      </w:r>
      <w:r>
        <w:rPr>
          <w:sz w:val="20"/>
        </w:rPr>
        <w:t>ferenciados según la zona del país, los valores son los siguientes:</w:t>
      </w:r>
    </w:p>
    <w:p w:rsidR="00D54BD5" w:rsidRDefault="00D54BD5" w:rsidP="00FF45AA">
      <w:pPr>
        <w:rPr>
          <w:sz w:val="20"/>
        </w:rPr>
      </w:pPr>
      <w:proofErr w:type="spellStart"/>
      <w:r>
        <w:rPr>
          <w:sz w:val="20"/>
        </w:rPr>
        <w:t>Acajutla</w:t>
      </w:r>
      <w:proofErr w:type="spellEnd"/>
      <w:r>
        <w:rPr>
          <w:sz w:val="20"/>
        </w:rPr>
        <w:t xml:space="preserve"> – San Salvador $0.036 por galón; </w:t>
      </w:r>
      <w:proofErr w:type="spellStart"/>
      <w:r>
        <w:rPr>
          <w:sz w:val="20"/>
        </w:rPr>
        <w:t>Acajutla</w:t>
      </w:r>
      <w:proofErr w:type="spellEnd"/>
      <w:r>
        <w:rPr>
          <w:sz w:val="20"/>
        </w:rPr>
        <w:t xml:space="preserve"> – Santa Ana $0.044 por galón</w:t>
      </w:r>
      <w:r w:rsidR="00436AEE">
        <w:rPr>
          <w:sz w:val="20"/>
        </w:rPr>
        <w:t xml:space="preserve">; </w:t>
      </w:r>
      <w:proofErr w:type="spellStart"/>
      <w:r w:rsidR="00436AEE">
        <w:rPr>
          <w:sz w:val="20"/>
        </w:rPr>
        <w:t>Acajutla</w:t>
      </w:r>
      <w:proofErr w:type="spellEnd"/>
      <w:r w:rsidR="00436AEE">
        <w:rPr>
          <w:sz w:val="20"/>
        </w:rPr>
        <w:t xml:space="preserve"> – San Miguel $0.074 por galón.</w:t>
      </w:r>
    </w:p>
    <w:p w:rsidR="001C2FE3" w:rsidRDefault="001C2FE3" w:rsidP="00FF45AA">
      <w:pPr>
        <w:rPr>
          <w:sz w:val="20"/>
        </w:rPr>
      </w:pPr>
      <w:r w:rsidRPr="001C2FE3">
        <w:rPr>
          <w:b/>
          <w:sz w:val="20"/>
        </w:rPr>
        <w:t>Margen del Mayorista (Importador – Distribuidor) y Margen del Minorista (Estación de Servicio):</w:t>
      </w:r>
      <w:r>
        <w:rPr>
          <w:b/>
          <w:sz w:val="20"/>
        </w:rPr>
        <w:t xml:space="preserve"> </w:t>
      </w:r>
      <w:r>
        <w:rPr>
          <w:sz w:val="20"/>
        </w:rPr>
        <w:t>16% de la tasa interna de retorno, dicha tasa será revisado en función de las condiciones del mercado.</w:t>
      </w:r>
    </w:p>
    <w:p w:rsidR="002F33A7" w:rsidRDefault="002F33A7" w:rsidP="00FF45AA">
      <w:pPr>
        <w:rPr>
          <w:b/>
          <w:sz w:val="20"/>
        </w:rPr>
      </w:pPr>
    </w:p>
    <w:p w:rsidR="002F33A7" w:rsidRDefault="002F33A7" w:rsidP="00FF45AA">
      <w:pPr>
        <w:rPr>
          <w:b/>
          <w:sz w:val="20"/>
        </w:rPr>
      </w:pPr>
    </w:p>
    <w:p w:rsidR="002F33A7" w:rsidRDefault="002F33A7" w:rsidP="00FF45AA">
      <w:pPr>
        <w:rPr>
          <w:b/>
          <w:sz w:val="20"/>
        </w:rPr>
      </w:pPr>
    </w:p>
    <w:p w:rsidR="002F33A7" w:rsidRDefault="002F33A7" w:rsidP="00FF45AA">
      <w:pPr>
        <w:rPr>
          <w:b/>
          <w:sz w:val="20"/>
        </w:rPr>
      </w:pPr>
    </w:p>
    <w:p w:rsidR="002954CF" w:rsidRDefault="002954CF" w:rsidP="00FF45AA">
      <w:pPr>
        <w:rPr>
          <w:b/>
          <w:sz w:val="20"/>
        </w:rPr>
      </w:pPr>
      <w:r>
        <w:rPr>
          <w:b/>
          <w:sz w:val="20"/>
        </w:rPr>
        <w:lastRenderedPageBreak/>
        <w:t>Tributos:</w:t>
      </w:r>
    </w:p>
    <w:tbl>
      <w:tblPr>
        <w:tblW w:w="6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540"/>
        <w:gridCol w:w="1540"/>
      </w:tblGrid>
      <w:tr w:rsidR="002954CF" w:rsidRPr="002954CF" w:rsidTr="002954CF">
        <w:trPr>
          <w:trHeight w:val="6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SV"/>
              </w:rPr>
              <w:t>Impuesto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SV"/>
              </w:rPr>
              <w:t>Dólares por galón</w:t>
            </w:r>
          </w:p>
        </w:tc>
      </w:tr>
      <w:tr w:rsidR="002954CF" w:rsidRPr="002954CF" w:rsidTr="002954CF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FOVIAL (Fondo de Conservación Vial)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0.20</w:t>
            </w:r>
          </w:p>
        </w:tc>
      </w:tr>
      <w:tr w:rsidR="002954CF" w:rsidRPr="002954CF" w:rsidTr="002F33A7">
        <w:trPr>
          <w:trHeight w:val="906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COTRANS (Contribución para la Estabilización de las Tarifas del Servicio Público del Transporte Colectivo de Pasajeros)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0.10</w:t>
            </w:r>
          </w:p>
        </w:tc>
      </w:tr>
      <w:tr w:rsidR="002954CF" w:rsidRPr="002954CF" w:rsidTr="002F33A7">
        <w:trPr>
          <w:trHeight w:val="563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FEFE (Fondo de Estabilización para el  Fomento Económico)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*0.1591</w:t>
            </w:r>
          </w:p>
        </w:tc>
      </w:tr>
      <w:tr w:rsidR="002954CF" w:rsidRPr="002954CF" w:rsidTr="002F33A7">
        <w:trPr>
          <w:trHeight w:val="529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 xml:space="preserve">IVA (Impuesto a la transferencia de bienes muebles y a la </w:t>
            </w:r>
            <w:r w:rsidR="002F33A7"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prestación</w:t>
            </w: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 xml:space="preserve"> de servicio)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13%</w:t>
            </w:r>
          </w:p>
        </w:tc>
      </w:tr>
      <w:tr w:rsidR="002954CF" w:rsidRPr="002954CF" w:rsidTr="002954CF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IEC (Impuesto Especial a los Combustibles)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4CF" w:rsidRPr="002954CF" w:rsidRDefault="002954CF" w:rsidP="00295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</w:pPr>
            <w:r w:rsidRPr="002954CF">
              <w:rPr>
                <w:rFonts w:ascii="Calibri" w:eastAsia="Times New Roman" w:hAnsi="Calibri" w:cs="Times New Roman"/>
                <w:color w:val="000000"/>
                <w:sz w:val="20"/>
                <w:lang w:eastAsia="es-SV"/>
              </w:rPr>
              <w:t>**</w:t>
            </w:r>
          </w:p>
        </w:tc>
      </w:tr>
    </w:tbl>
    <w:p w:rsidR="002954CF" w:rsidRDefault="002F33A7" w:rsidP="00FF45AA">
      <w:pPr>
        <w:rPr>
          <w:sz w:val="20"/>
        </w:rPr>
      </w:pPr>
      <w:r w:rsidRPr="002F33A7">
        <w:rPr>
          <w:sz w:val="20"/>
        </w:rPr>
        <w:t>* Aplica únicamente para las gasolinas</w:t>
      </w:r>
      <w:r>
        <w:rPr>
          <w:sz w:val="20"/>
        </w:rPr>
        <w:t>.</w:t>
      </w:r>
    </w:p>
    <w:p w:rsidR="002F33A7" w:rsidRDefault="002F33A7" w:rsidP="00FF45AA">
      <w:pPr>
        <w:rPr>
          <w:sz w:val="20"/>
        </w:rPr>
      </w:pPr>
      <w:r w:rsidRPr="002F33A7">
        <w:rPr>
          <w:sz w:val="20"/>
        </w:rPr>
        <w:t>** El IEC aplica cuando el precio int</w:t>
      </w:r>
      <w:r w:rsidR="00E56C78">
        <w:rPr>
          <w:sz w:val="20"/>
        </w:rPr>
        <w:t>ernacional del barril de</w:t>
      </w:r>
      <w:r w:rsidR="009137D3">
        <w:rPr>
          <w:sz w:val="20"/>
        </w:rPr>
        <w:t>l</w:t>
      </w:r>
      <w:r w:rsidR="00E56C78">
        <w:rPr>
          <w:sz w:val="20"/>
        </w:rPr>
        <w:t xml:space="preserve"> crudo del </w:t>
      </w:r>
      <w:r w:rsidRPr="009137D3">
        <w:rPr>
          <w:sz w:val="20"/>
        </w:rPr>
        <w:t>WTI</w:t>
      </w:r>
      <w:r w:rsidR="00E56C78">
        <w:rPr>
          <w:sz w:val="20"/>
        </w:rPr>
        <w:t xml:space="preserve"> (West Texas </w:t>
      </w:r>
      <w:proofErr w:type="spellStart"/>
      <w:r w:rsidR="00E56C78">
        <w:rPr>
          <w:sz w:val="20"/>
        </w:rPr>
        <w:t>Intermediate</w:t>
      </w:r>
      <w:proofErr w:type="spellEnd"/>
      <w:r w:rsidR="00E56C78">
        <w:rPr>
          <w:sz w:val="20"/>
        </w:rPr>
        <w:t>)</w:t>
      </w:r>
      <w:r w:rsidRPr="002F33A7">
        <w:rPr>
          <w:sz w:val="20"/>
        </w:rPr>
        <w:t xml:space="preserve">  registra lo descrito en la siguiente tabla: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40"/>
        <w:gridCol w:w="1860"/>
      </w:tblGrid>
      <w:tr w:rsidR="002F33A7" w:rsidRPr="002F33A7" w:rsidTr="002F33A7">
        <w:trPr>
          <w:trHeight w:val="52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SV"/>
              </w:rPr>
              <w:t>Precio internacional de referencia del barril de petróleo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SV"/>
              </w:rPr>
              <w:t xml:space="preserve">Tasa o alícuota </w:t>
            </w:r>
          </w:p>
        </w:tc>
      </w:tr>
      <w:tr w:rsidR="002F33A7" w:rsidRPr="002F33A7" w:rsidTr="002F33A7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 xml:space="preserve">Hasta $ 50.00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>1.00%</w:t>
            </w:r>
          </w:p>
        </w:tc>
      </w:tr>
      <w:tr w:rsidR="002F33A7" w:rsidRPr="002F33A7" w:rsidTr="002F33A7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 xml:space="preserve">Mayor a $ 50.00 hasta $ 70.00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 xml:space="preserve">        0.50%      </w:t>
            </w:r>
          </w:p>
        </w:tc>
      </w:tr>
      <w:tr w:rsidR="002F33A7" w:rsidRPr="002F33A7" w:rsidTr="002F33A7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 xml:space="preserve">Mayor a $ 70.00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3A7" w:rsidRPr="002F33A7" w:rsidRDefault="002F33A7" w:rsidP="002F3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</w:pPr>
            <w:r w:rsidRPr="002F33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SV"/>
              </w:rPr>
              <w:t>0.00%</w:t>
            </w:r>
          </w:p>
        </w:tc>
      </w:tr>
    </w:tbl>
    <w:p w:rsidR="002F33A7" w:rsidRDefault="002F33A7" w:rsidP="00FF45AA">
      <w:pPr>
        <w:rPr>
          <w:sz w:val="20"/>
        </w:rPr>
      </w:pPr>
    </w:p>
    <w:p w:rsidR="00D776C0" w:rsidRDefault="00D776C0" w:rsidP="00FF45AA">
      <w:pPr>
        <w:rPr>
          <w:sz w:val="20"/>
        </w:rPr>
      </w:pPr>
    </w:p>
    <w:p w:rsidR="00D776C0" w:rsidRPr="002954CF" w:rsidRDefault="00D776C0" w:rsidP="00FF45AA">
      <w:pPr>
        <w:rPr>
          <w:sz w:val="20"/>
        </w:rPr>
      </w:pPr>
    </w:p>
    <w:sectPr w:rsidR="00D776C0" w:rsidRPr="002954CF" w:rsidSect="00437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7186"/>
    <w:rsid w:val="00012659"/>
    <w:rsid w:val="000C4058"/>
    <w:rsid w:val="000D78DC"/>
    <w:rsid w:val="00152446"/>
    <w:rsid w:val="00162880"/>
    <w:rsid w:val="00165043"/>
    <w:rsid w:val="001766F9"/>
    <w:rsid w:val="00194EA3"/>
    <w:rsid w:val="001B7499"/>
    <w:rsid w:val="001C1FFA"/>
    <w:rsid w:val="001C2FE3"/>
    <w:rsid w:val="001C6C60"/>
    <w:rsid w:val="001D5E46"/>
    <w:rsid w:val="002547F1"/>
    <w:rsid w:val="00266C7E"/>
    <w:rsid w:val="002954CF"/>
    <w:rsid w:val="002D6D25"/>
    <w:rsid w:val="002E6C40"/>
    <w:rsid w:val="002F1C82"/>
    <w:rsid w:val="002F33A7"/>
    <w:rsid w:val="00307139"/>
    <w:rsid w:val="003103B6"/>
    <w:rsid w:val="00363323"/>
    <w:rsid w:val="00363E0E"/>
    <w:rsid w:val="003A54B4"/>
    <w:rsid w:val="003C7648"/>
    <w:rsid w:val="0040628D"/>
    <w:rsid w:val="00413C7B"/>
    <w:rsid w:val="00436AEE"/>
    <w:rsid w:val="00437F92"/>
    <w:rsid w:val="004405EE"/>
    <w:rsid w:val="004A01EE"/>
    <w:rsid w:val="0058585B"/>
    <w:rsid w:val="006519C7"/>
    <w:rsid w:val="006904A4"/>
    <w:rsid w:val="0069415D"/>
    <w:rsid w:val="006F7440"/>
    <w:rsid w:val="00706CAD"/>
    <w:rsid w:val="007324CD"/>
    <w:rsid w:val="00740FFC"/>
    <w:rsid w:val="007426DE"/>
    <w:rsid w:val="007D525F"/>
    <w:rsid w:val="00812BA3"/>
    <w:rsid w:val="00831A52"/>
    <w:rsid w:val="008729A1"/>
    <w:rsid w:val="008A57F1"/>
    <w:rsid w:val="009137D3"/>
    <w:rsid w:val="009166E0"/>
    <w:rsid w:val="009233E3"/>
    <w:rsid w:val="009B4EB3"/>
    <w:rsid w:val="00AA1EF1"/>
    <w:rsid w:val="00AA345D"/>
    <w:rsid w:val="00AA7651"/>
    <w:rsid w:val="00B025F3"/>
    <w:rsid w:val="00B14A21"/>
    <w:rsid w:val="00B83692"/>
    <w:rsid w:val="00B8373E"/>
    <w:rsid w:val="00BA694F"/>
    <w:rsid w:val="00C1501E"/>
    <w:rsid w:val="00CC423D"/>
    <w:rsid w:val="00CC5925"/>
    <w:rsid w:val="00CD29E8"/>
    <w:rsid w:val="00D1229D"/>
    <w:rsid w:val="00D54BD5"/>
    <w:rsid w:val="00D776C0"/>
    <w:rsid w:val="00DB197E"/>
    <w:rsid w:val="00DD6F08"/>
    <w:rsid w:val="00E13184"/>
    <w:rsid w:val="00E56C78"/>
    <w:rsid w:val="00E67186"/>
    <w:rsid w:val="00E7078A"/>
    <w:rsid w:val="00F0306E"/>
    <w:rsid w:val="00F41BD0"/>
    <w:rsid w:val="00FA07DA"/>
    <w:rsid w:val="00FF4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C6C60"/>
    <w:rPr>
      <w:color w:val="808080"/>
    </w:rPr>
  </w:style>
  <w:style w:type="character" w:styleId="Textoennegrita">
    <w:name w:val="Strong"/>
    <w:basedOn w:val="Fuentedeprrafopredeter"/>
    <w:uiPriority w:val="22"/>
    <w:qFormat/>
    <w:rsid w:val="000126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5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C6C60"/>
    <w:rPr>
      <w:color w:val="808080"/>
    </w:rPr>
  </w:style>
  <w:style w:type="character" w:styleId="Textoennegrita">
    <w:name w:val="Strong"/>
    <w:basedOn w:val="Fuentedeprrafopredeter"/>
    <w:uiPriority w:val="22"/>
    <w:qFormat/>
    <w:rsid w:val="000126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5AFB-0F56-47F1-90B0-193E225F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2408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Asencio Vega</dc:creator>
  <cp:lastModifiedBy>mbachez</cp:lastModifiedBy>
  <cp:revision>2</cp:revision>
  <cp:lastPrinted>2018-08-20T14:19:00Z</cp:lastPrinted>
  <dcterms:created xsi:type="dcterms:W3CDTF">2019-08-07T14:30:00Z</dcterms:created>
  <dcterms:modified xsi:type="dcterms:W3CDTF">2019-08-07T14:30:00Z</dcterms:modified>
</cp:coreProperties>
</file>