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048A1" w14:textId="77777777" w:rsidR="00A46C67" w:rsidRDefault="00A46C67"/>
    <w:p w14:paraId="7D8F3A00" w14:textId="77777777" w:rsidR="00A46C67" w:rsidRDefault="00A46C67"/>
    <w:p w14:paraId="7AB11964" w14:textId="77777777" w:rsidR="00A46C67" w:rsidRDefault="001E0702">
      <w:pPr>
        <w:jc w:val="center"/>
      </w:pPr>
      <w:r>
        <w:rPr>
          <w:b/>
          <w:color w:val="1E3A5F"/>
          <w:sz w:val="52"/>
        </w:rPr>
        <w:t>Plataforma de Forecast de Ventas</w:t>
      </w:r>
    </w:p>
    <w:p w14:paraId="77281A38" w14:textId="77777777" w:rsidR="00A46C67" w:rsidRDefault="001E0702">
      <w:pPr>
        <w:jc w:val="center"/>
      </w:pPr>
      <w:r>
        <w:rPr>
          <w:color w:val="2E6DA3"/>
          <w:sz w:val="32"/>
        </w:rPr>
        <w:t>Industria Automotriz — Ecuador</w:t>
      </w:r>
    </w:p>
    <w:p w14:paraId="5882D126" w14:textId="77777777" w:rsidR="00A46C67" w:rsidRDefault="00A46C67"/>
    <w:p w14:paraId="2D9E93EB" w14:textId="77777777" w:rsidR="00A46C67" w:rsidRDefault="001E0702">
      <w:pPr>
        <w:jc w:val="center"/>
      </w:pPr>
      <w:r>
        <w:rPr>
          <w:i/>
          <w:color w:val="333333"/>
          <w:sz w:val="26"/>
        </w:rPr>
        <w:t>Guía explicativa del proceso, las fuentes de datos y las salidas de la aplicación</w:t>
      </w:r>
    </w:p>
    <w:p w14:paraId="379D748A" w14:textId="77777777" w:rsidR="00A46C67" w:rsidRDefault="00A46C67"/>
    <w:p w14:paraId="2E8CA7A1" w14:textId="77777777" w:rsidR="00A46C67" w:rsidRDefault="001E0702">
      <w:pPr>
        <w:jc w:val="center"/>
      </w:pPr>
      <w:r>
        <w:rPr>
          <w:color w:val="333333"/>
        </w:rPr>
        <w:t>Versión: April 2026</w:t>
      </w:r>
    </w:p>
    <w:p w14:paraId="650788A1" w14:textId="77777777" w:rsidR="00A46C67" w:rsidRDefault="001E0702">
      <w:r>
        <w:br w:type="page"/>
      </w:r>
    </w:p>
    <w:p w14:paraId="6D116AB8" w14:textId="77777777" w:rsidR="00A46C67" w:rsidRDefault="001E0702">
      <w:pPr>
        <w:pStyle w:val="Ttulo1"/>
      </w:pPr>
      <w:r>
        <w:rPr>
          <w:color w:val="1E3A5F"/>
          <w:sz w:val="32"/>
        </w:rPr>
        <w:lastRenderedPageBreak/>
        <w:t>1. ¿Qué hace la aplicación?</w:t>
      </w:r>
    </w:p>
    <w:p w14:paraId="5037F3B4" w14:textId="77777777" w:rsidR="00A46C67" w:rsidRDefault="001E0702">
      <w:pPr>
        <w:spacing w:after="160"/>
      </w:pPr>
      <w:r>
        <w:t>La Plataforma de Forecast de Ventas es una herramienta diseñada para que el equipo comercial y de planificación de Maresa pueda anticipar cuántos vehículos se venderán en el mercado ecuatoriano durante los próximos meses, tanto a nivel de industria total como desglosado por segmento, marca, modelo y provincia.</w:t>
      </w:r>
    </w:p>
    <w:p w14:paraId="0D8D18BC" w14:textId="77777777" w:rsidR="00A46C67" w:rsidRDefault="001E0702">
      <w:pPr>
        <w:spacing w:after="160"/>
      </w:pPr>
      <w:r>
        <w:t>En términos simples: la aplicación toma los datos históricos de ventas del sector automotriz junto con indicadores económicos del país, aplica modelos estadísticos y de inteligencia artificial, y entrega una proyección de ventas con tres escenarios (normal, optimista y pesimista) para el horizonte de tiempo que el analista defina.</w:t>
      </w:r>
    </w:p>
    <w:tbl>
      <w:tblPr>
        <w:tblStyle w:val="Tablaconcuadrcula"/>
        <w:tblW w:w="0" w:type="auto"/>
        <w:tblLook w:val="04A0" w:firstRow="1" w:lastRow="0" w:firstColumn="1" w:lastColumn="0" w:noHBand="0" w:noVBand="1"/>
      </w:tblPr>
      <w:tblGrid>
        <w:gridCol w:w="9066"/>
      </w:tblGrid>
      <w:tr w:rsidR="00A46C67" w14:paraId="41806E63" w14:textId="77777777">
        <w:tc>
          <w:tcPr>
            <w:tcW w:w="9066" w:type="dxa"/>
            <w:shd w:val="clear" w:color="auto" w:fill="1E3A5F"/>
          </w:tcPr>
          <w:p w14:paraId="78FA9DB0" w14:textId="77777777" w:rsidR="00A46C67" w:rsidRDefault="001E0702">
            <w:r>
              <w:rPr>
                <w:b/>
                <w:color w:val="FFFFFF"/>
              </w:rPr>
              <w:t>🎯</w:t>
            </w:r>
            <w:r>
              <w:rPr>
                <w:b/>
                <w:color w:val="FFFFFF"/>
              </w:rPr>
              <w:t xml:space="preserve">  Beneficio principal para el negocio</w:t>
            </w:r>
          </w:p>
        </w:tc>
      </w:tr>
      <w:tr w:rsidR="00A46C67" w14:paraId="5E66825B" w14:textId="77777777">
        <w:tc>
          <w:tcPr>
            <w:tcW w:w="9066" w:type="dxa"/>
            <w:shd w:val="clear" w:color="auto" w:fill="EBF4FF"/>
          </w:tcPr>
          <w:p w14:paraId="771792C5" w14:textId="77777777" w:rsidR="00A46C67" w:rsidRDefault="001E0702">
            <w:r>
              <w:rPr>
                <w:sz w:val="20"/>
              </w:rPr>
              <w:t>• Permite planificar el inventario, logística y presupuesto con base en datos cuantitativos.</w:t>
            </w:r>
          </w:p>
        </w:tc>
      </w:tr>
      <w:tr w:rsidR="00A46C67" w14:paraId="2E3ED51F" w14:textId="77777777">
        <w:tc>
          <w:tcPr>
            <w:tcW w:w="9066" w:type="dxa"/>
            <w:shd w:val="clear" w:color="auto" w:fill="EBF4FF"/>
          </w:tcPr>
          <w:p w14:paraId="1DA3C164" w14:textId="77777777" w:rsidR="00A46C67" w:rsidRDefault="001E0702">
            <w:r>
              <w:rPr>
                <w:sz w:val="20"/>
              </w:rPr>
              <w:t>• Reduce la dependencia de estimaciones subjetivas o 'a ojo'.</w:t>
            </w:r>
          </w:p>
        </w:tc>
      </w:tr>
      <w:tr w:rsidR="00A46C67" w14:paraId="26915A7B" w14:textId="77777777">
        <w:tc>
          <w:tcPr>
            <w:tcW w:w="9066" w:type="dxa"/>
            <w:shd w:val="clear" w:color="auto" w:fill="EBF4FF"/>
          </w:tcPr>
          <w:p w14:paraId="3B82DE27" w14:textId="77777777" w:rsidR="00A46C67" w:rsidRDefault="001E0702">
            <w:r>
              <w:rPr>
                <w:sz w:val="20"/>
              </w:rPr>
              <w:t>• Ofrece escenarios alternativos para tomar decisiones ante contextos inciertos.</w:t>
            </w:r>
          </w:p>
        </w:tc>
      </w:tr>
      <w:tr w:rsidR="00A46C67" w14:paraId="567DC6D6" w14:textId="77777777">
        <w:tc>
          <w:tcPr>
            <w:tcW w:w="9066" w:type="dxa"/>
            <w:shd w:val="clear" w:color="auto" w:fill="EBF4FF"/>
          </w:tcPr>
          <w:p w14:paraId="3148F222" w14:textId="77777777" w:rsidR="00A46C67" w:rsidRDefault="001E0702">
            <w:r>
              <w:rPr>
                <w:sz w:val="20"/>
              </w:rPr>
              <w:t>• El proceso completo —desde la carga de datos hasta el pronóstico— toma minutos, no días.</w:t>
            </w:r>
          </w:p>
        </w:tc>
      </w:tr>
    </w:tbl>
    <w:p w14:paraId="3241DA55" w14:textId="77777777" w:rsidR="00A46C67" w:rsidRDefault="00A46C67"/>
    <w:p w14:paraId="2361B982" w14:textId="77777777" w:rsidR="00A46C67" w:rsidRDefault="001E0702">
      <w:pPr>
        <w:pStyle w:val="Ttulo1"/>
      </w:pPr>
      <w:r>
        <w:rPr>
          <w:color w:val="1E3A5F"/>
          <w:sz w:val="32"/>
        </w:rPr>
        <w:t>2. ¿Cómo está organizada la aplicación?</w:t>
      </w:r>
    </w:p>
    <w:p w14:paraId="771686C4" w14:textId="77777777" w:rsidR="00A46C67" w:rsidRDefault="001E0702">
      <w:pPr>
        <w:spacing w:after="160"/>
      </w:pPr>
      <w:r>
        <w:t>La aplicación se construyó con Streamlit, una tecnología que permite crear interfaces web interactivas con Python. Está compuesta por cuatro secciones principales a las que se accede desde un menú lateral, más un dashboard central de resultados.</w:t>
      </w:r>
    </w:p>
    <w:tbl>
      <w:tblPr>
        <w:tblStyle w:val="Tablaconcuadrcula"/>
        <w:tblW w:w="0" w:type="auto"/>
        <w:tblLook w:val="04A0" w:firstRow="1" w:lastRow="0" w:firstColumn="1" w:lastColumn="0" w:noHBand="0" w:noVBand="1"/>
      </w:tblPr>
      <w:tblGrid>
        <w:gridCol w:w="3456"/>
        <w:gridCol w:w="5184"/>
      </w:tblGrid>
      <w:tr w:rsidR="00A46C67" w14:paraId="4C662CC0" w14:textId="77777777">
        <w:tc>
          <w:tcPr>
            <w:tcW w:w="3456" w:type="dxa"/>
            <w:shd w:val="clear" w:color="auto" w:fill="1E3A5F"/>
          </w:tcPr>
          <w:p w14:paraId="363D058A" w14:textId="77777777" w:rsidR="00A46C67" w:rsidRDefault="001E0702">
            <w:r>
              <w:rPr>
                <w:b/>
                <w:color w:val="FFFFFF"/>
                <w:sz w:val="20"/>
              </w:rPr>
              <w:t>Sección</w:t>
            </w:r>
          </w:p>
        </w:tc>
        <w:tc>
          <w:tcPr>
            <w:tcW w:w="5184" w:type="dxa"/>
            <w:shd w:val="clear" w:color="auto" w:fill="1E3A5F"/>
          </w:tcPr>
          <w:p w14:paraId="5E0A4E2E" w14:textId="77777777" w:rsidR="00A46C67" w:rsidRDefault="001E0702">
            <w:r>
              <w:rPr>
                <w:b/>
                <w:color w:val="FFFFFF"/>
                <w:sz w:val="20"/>
              </w:rPr>
              <w:t>¿Para qué sirve?</w:t>
            </w:r>
          </w:p>
        </w:tc>
      </w:tr>
      <w:tr w:rsidR="00A46C67" w14:paraId="49B9FBD9" w14:textId="77777777">
        <w:tc>
          <w:tcPr>
            <w:tcW w:w="3456" w:type="dxa"/>
            <w:shd w:val="clear" w:color="auto" w:fill="EBF4FF"/>
          </w:tcPr>
          <w:p w14:paraId="06CFAD20" w14:textId="77777777" w:rsidR="00A46C67" w:rsidRDefault="001E0702">
            <w:r>
              <w:rPr>
                <w:sz w:val="20"/>
              </w:rPr>
              <w:t>Dashboard principal (app.py)</w:t>
            </w:r>
          </w:p>
        </w:tc>
        <w:tc>
          <w:tcPr>
            <w:tcW w:w="5184" w:type="dxa"/>
            <w:shd w:val="clear" w:color="auto" w:fill="EBF4FF"/>
          </w:tcPr>
          <w:p w14:paraId="68316343" w14:textId="77777777" w:rsidR="00A46C67" w:rsidRDefault="001E0702">
            <w:r>
              <w:rPr>
                <w:sz w:val="20"/>
              </w:rPr>
              <w:t>Página de inicio. Muestra el resumen de la proyección seleccionada: gráficos de ventas reales vs. proyectadas, crecimiento anual, estacionalidad y detalle por modelo/provincia.</w:t>
            </w:r>
          </w:p>
        </w:tc>
      </w:tr>
      <w:tr w:rsidR="00A46C67" w14:paraId="66ED0BFA" w14:textId="77777777">
        <w:tc>
          <w:tcPr>
            <w:tcW w:w="3456" w:type="dxa"/>
            <w:shd w:val="clear" w:color="auto" w:fill="FFFFFF"/>
          </w:tcPr>
          <w:p w14:paraId="7EFF8CFE" w14:textId="77777777" w:rsidR="00A46C67" w:rsidRDefault="001E0702">
            <w:r>
              <w:rPr>
                <w:sz w:val="20"/>
              </w:rPr>
              <w:t>1 — Forecast App</w:t>
            </w:r>
          </w:p>
        </w:tc>
        <w:tc>
          <w:tcPr>
            <w:tcW w:w="5184" w:type="dxa"/>
            <w:shd w:val="clear" w:color="auto" w:fill="FFFFFF"/>
          </w:tcPr>
          <w:p w14:paraId="2CD0F252" w14:textId="77777777" w:rsidR="00A46C67" w:rsidRDefault="001E0702">
            <w:r>
              <w:rPr>
                <w:sz w:val="20"/>
              </w:rPr>
              <w:t>El corazón de la aplicación. Aquí el analista explora los datos históricos, define los escenarios de variables económicas y ejecuta el modelo de pronóstico.</w:t>
            </w:r>
          </w:p>
        </w:tc>
      </w:tr>
      <w:tr w:rsidR="00A46C67" w14:paraId="0A98634A" w14:textId="77777777">
        <w:tc>
          <w:tcPr>
            <w:tcW w:w="3456" w:type="dxa"/>
            <w:shd w:val="clear" w:color="auto" w:fill="EBF4FF"/>
          </w:tcPr>
          <w:p w14:paraId="2EF16E02" w14:textId="77777777" w:rsidR="00A46C67" w:rsidRDefault="001E0702">
            <w:r>
              <w:rPr>
                <w:sz w:val="20"/>
              </w:rPr>
              <w:t>2 — Competidores Principales</w:t>
            </w:r>
          </w:p>
        </w:tc>
        <w:tc>
          <w:tcPr>
            <w:tcW w:w="5184" w:type="dxa"/>
            <w:shd w:val="clear" w:color="auto" w:fill="EBF4FF"/>
          </w:tcPr>
          <w:p w14:paraId="7F1603B0" w14:textId="77777777" w:rsidR="00A46C67" w:rsidRDefault="001E0702">
            <w:r>
              <w:rPr>
                <w:sz w:val="20"/>
              </w:rPr>
              <w:t>Permite registrar y consultar qué modelos del mercado compiten directa o indirectamente con cada modelo de Maresa.</w:t>
            </w:r>
          </w:p>
        </w:tc>
      </w:tr>
      <w:tr w:rsidR="00A46C67" w14:paraId="7D757D59" w14:textId="77777777">
        <w:tc>
          <w:tcPr>
            <w:tcW w:w="3456" w:type="dxa"/>
            <w:shd w:val="clear" w:color="auto" w:fill="FFFFFF"/>
          </w:tcPr>
          <w:p w14:paraId="1325B42D" w14:textId="77777777" w:rsidR="00A46C67" w:rsidRDefault="001E0702">
            <w:r>
              <w:rPr>
                <w:sz w:val="20"/>
              </w:rPr>
              <w:t>3 — Registro</w:t>
            </w:r>
          </w:p>
        </w:tc>
        <w:tc>
          <w:tcPr>
            <w:tcW w:w="5184" w:type="dxa"/>
            <w:shd w:val="clear" w:color="auto" w:fill="FFFFFF"/>
          </w:tcPr>
          <w:p w14:paraId="287DCEDB" w14:textId="77777777" w:rsidR="00A46C67" w:rsidRDefault="001E0702">
            <w:r>
              <w:rPr>
                <w:sz w:val="20"/>
              </w:rPr>
              <w:t>Formulario de auto-registro para nuevos usuarios. Cada solicitud queda pendiente hasta que un administrador la apruebe.</w:t>
            </w:r>
          </w:p>
        </w:tc>
      </w:tr>
      <w:tr w:rsidR="00A46C67" w14:paraId="538987A4" w14:textId="77777777">
        <w:tc>
          <w:tcPr>
            <w:tcW w:w="3456" w:type="dxa"/>
            <w:shd w:val="clear" w:color="auto" w:fill="EBF4FF"/>
          </w:tcPr>
          <w:p w14:paraId="1F56BEB6" w14:textId="77777777" w:rsidR="00A46C67" w:rsidRDefault="001E0702">
            <w:r>
              <w:rPr>
                <w:sz w:val="20"/>
              </w:rPr>
              <w:t>4 — Administración</w:t>
            </w:r>
          </w:p>
        </w:tc>
        <w:tc>
          <w:tcPr>
            <w:tcW w:w="5184" w:type="dxa"/>
            <w:shd w:val="clear" w:color="auto" w:fill="EBF4FF"/>
          </w:tcPr>
          <w:p w14:paraId="5DDF1DDD" w14:textId="77777777" w:rsidR="00A46C67" w:rsidRDefault="001E0702">
            <w:r>
              <w:rPr>
                <w:sz w:val="20"/>
              </w:rPr>
              <w:t>Panel exclusivo para administradores: aprobación de usuarios, gestión de permisos.</w:t>
            </w:r>
          </w:p>
        </w:tc>
      </w:tr>
    </w:tbl>
    <w:p w14:paraId="5E258F0B" w14:textId="77777777" w:rsidR="00A46C67" w:rsidRDefault="00A46C67"/>
    <w:p w14:paraId="61ED8B7C" w14:textId="77777777" w:rsidR="00A46C67" w:rsidRDefault="001E0702">
      <w:pPr>
        <w:pStyle w:val="Ttulo1"/>
      </w:pPr>
      <w:r>
        <w:rPr>
          <w:color w:val="1E3A5F"/>
          <w:sz w:val="32"/>
        </w:rPr>
        <w:t>3. ¿De dónde vienen los datos?</w:t>
      </w:r>
    </w:p>
    <w:p w14:paraId="710D02DD" w14:textId="77777777" w:rsidR="00A46C67" w:rsidRDefault="001E0702">
      <w:pPr>
        <w:spacing w:after="160"/>
      </w:pPr>
      <w:r>
        <w:t>La aplicación trabaja con dos tipos de información: los datos de ventas del mercado automotriz y los indicadores macroeconómicos del Ecuador. Ambos ingresan al sistema a través de archivos Excel y se almacenan en una base de datos en la nube.</w:t>
      </w:r>
    </w:p>
    <w:p w14:paraId="1B33CAEE" w14:textId="77777777" w:rsidR="00A46C67" w:rsidRDefault="001E0702">
      <w:pPr>
        <w:pStyle w:val="Ttulo2"/>
      </w:pPr>
      <w:r>
        <w:rPr>
          <w:color w:val="2E6DA3"/>
        </w:rPr>
        <w:lastRenderedPageBreak/>
        <w:t>3.1  Ventas históricas del mercado (industria.xlsx)</w:t>
      </w:r>
    </w:p>
    <w:p w14:paraId="2CFCBCA4" w14:textId="77777777" w:rsidR="00A46C67" w:rsidRDefault="001E0702">
      <w:pPr>
        <w:spacing w:after="120"/>
      </w:pPr>
      <w:r>
        <w:t>Este archivo contiene el registro completo de matrículas de vehículos nuevos en Ecuador, normalmente proveniente de AEADE o SRI. Cada fila representa las unidades vendidas de un modelo específico en un mes, provincia y segmento determinados.</w:t>
      </w:r>
    </w:p>
    <w:p w14:paraId="76DDB18C" w14:textId="77777777" w:rsidR="00A46C67" w:rsidRDefault="001E0702">
      <w:pPr>
        <w:pStyle w:val="Listaconvietas"/>
        <w:spacing w:after="60"/>
      </w:pPr>
      <w:r>
        <w:t>Fecha del registro (mes/año)</w:t>
      </w:r>
    </w:p>
    <w:p w14:paraId="31F13D20" w14:textId="77777777" w:rsidR="00A46C67" w:rsidRDefault="001E0702">
      <w:pPr>
        <w:pStyle w:val="Listaconvietas"/>
        <w:spacing w:after="60"/>
      </w:pPr>
      <w:r>
        <w:t>Segmento (SUV, Sedán, Pickup, Comercial, etc.)</w:t>
      </w:r>
    </w:p>
    <w:p w14:paraId="0EC2B272" w14:textId="77777777" w:rsidR="00A46C67" w:rsidRDefault="001E0702">
      <w:pPr>
        <w:pStyle w:val="Listaconvietas"/>
        <w:spacing w:after="60"/>
      </w:pPr>
      <w:r>
        <w:t>Marca y modelo del vehículo</w:t>
      </w:r>
    </w:p>
    <w:p w14:paraId="5E446D45" w14:textId="77777777" w:rsidR="00A46C67" w:rsidRDefault="001E0702">
      <w:pPr>
        <w:pStyle w:val="Listaconvietas"/>
        <w:spacing w:after="60"/>
      </w:pPr>
      <w:r>
        <w:t>Provincia de matrícula</w:t>
      </w:r>
    </w:p>
    <w:p w14:paraId="0220D034" w14:textId="77777777" w:rsidR="00A46C67" w:rsidRDefault="001E0702">
      <w:pPr>
        <w:pStyle w:val="Listaconvietas"/>
        <w:spacing w:after="60"/>
      </w:pPr>
      <w:r>
        <w:t>Tipo de combustible (gasolina, híbrido, eléctrico)</w:t>
      </w:r>
    </w:p>
    <w:p w14:paraId="3FE01017" w14:textId="77777777" w:rsidR="00A46C67" w:rsidRDefault="001E0702">
      <w:pPr>
        <w:pStyle w:val="Listaconvietas"/>
        <w:spacing w:after="60"/>
      </w:pPr>
      <w:r>
        <w:t>Origen (nacional / importado) y tipo de hibridación</w:t>
      </w:r>
    </w:p>
    <w:p w14:paraId="11D61ADA" w14:textId="77777777" w:rsidR="00A46C67" w:rsidRDefault="001E0702">
      <w:pPr>
        <w:pStyle w:val="Listaconvietas"/>
        <w:spacing w:after="60"/>
      </w:pPr>
      <w:r>
        <w:t>Número de unidades vendidas</w:t>
      </w:r>
    </w:p>
    <w:p w14:paraId="5DD0D52A" w14:textId="77777777" w:rsidR="00A46C67" w:rsidRDefault="00A46C67"/>
    <w:p w14:paraId="2F8EA066" w14:textId="77777777" w:rsidR="00A46C67" w:rsidRDefault="001E0702">
      <w:pPr>
        <w:pStyle w:val="Ttulo2"/>
      </w:pPr>
      <w:r>
        <w:rPr>
          <w:color w:val="2E6DA3"/>
        </w:rPr>
        <w:t>3.2  Indicadores macroeconómicos (variables.xlsx)</w:t>
      </w:r>
    </w:p>
    <w:p w14:paraId="0DAC315D" w14:textId="77777777" w:rsidR="00A46C67" w:rsidRDefault="001E0702">
      <w:pPr>
        <w:spacing w:after="120"/>
      </w:pPr>
      <w:r>
        <w:t>Este archivo contiene una serie de tiempo mensual con más de 20 variables económicas que tienen relación comprobada con el comportamiento de las ventas de vehículos. Estas variables provienen de fuentes oficiales como el Banco Central del Ecuador (BCE), INEC, SRI y plataformas financieras internacionales.</w:t>
      </w:r>
    </w:p>
    <w:tbl>
      <w:tblPr>
        <w:tblStyle w:val="Tablaconcuadrcula"/>
        <w:tblW w:w="0" w:type="auto"/>
        <w:tblLook w:val="04A0" w:firstRow="1" w:lastRow="0" w:firstColumn="1" w:lastColumn="0" w:noHBand="0" w:noVBand="1"/>
      </w:tblPr>
      <w:tblGrid>
        <w:gridCol w:w="3456"/>
        <w:gridCol w:w="5184"/>
      </w:tblGrid>
      <w:tr w:rsidR="00A46C67" w14:paraId="09CB22A1" w14:textId="77777777">
        <w:tc>
          <w:tcPr>
            <w:tcW w:w="3456" w:type="dxa"/>
            <w:shd w:val="clear" w:color="auto" w:fill="1B4332"/>
          </w:tcPr>
          <w:p w14:paraId="21EE7B21" w14:textId="77777777" w:rsidR="00A46C67" w:rsidRDefault="001E0702">
            <w:r>
              <w:rPr>
                <w:b/>
                <w:color w:val="FFFFFF"/>
                <w:sz w:val="20"/>
              </w:rPr>
              <w:t>Indicador</w:t>
            </w:r>
          </w:p>
        </w:tc>
        <w:tc>
          <w:tcPr>
            <w:tcW w:w="5184" w:type="dxa"/>
            <w:shd w:val="clear" w:color="auto" w:fill="1B4332"/>
          </w:tcPr>
          <w:p w14:paraId="54F65942" w14:textId="77777777" w:rsidR="00A46C67" w:rsidRDefault="001E0702">
            <w:r>
              <w:rPr>
                <w:b/>
                <w:color w:val="FFFFFF"/>
                <w:sz w:val="20"/>
              </w:rPr>
              <w:t>Fuente</w:t>
            </w:r>
          </w:p>
        </w:tc>
      </w:tr>
      <w:tr w:rsidR="00A46C67" w14:paraId="3400FC78" w14:textId="77777777">
        <w:tc>
          <w:tcPr>
            <w:tcW w:w="3456" w:type="dxa"/>
            <w:shd w:val="clear" w:color="auto" w:fill="EDFBF0"/>
          </w:tcPr>
          <w:p w14:paraId="50FC324F" w14:textId="77777777" w:rsidR="00A46C67" w:rsidRDefault="001E0702">
            <w:r>
              <w:rPr>
                <w:sz w:val="20"/>
              </w:rPr>
              <w:t>IVA</w:t>
            </w:r>
          </w:p>
        </w:tc>
        <w:tc>
          <w:tcPr>
            <w:tcW w:w="5184" w:type="dxa"/>
            <w:shd w:val="clear" w:color="auto" w:fill="EDFBF0"/>
          </w:tcPr>
          <w:p w14:paraId="7622E6E6" w14:textId="77777777" w:rsidR="00A46C67" w:rsidRDefault="001E0702">
            <w:r>
              <w:rPr>
                <w:sz w:val="20"/>
              </w:rPr>
              <w:t>Recaudación del Impuesto al Valor Agregado — SRI</w:t>
            </w:r>
          </w:p>
        </w:tc>
      </w:tr>
      <w:tr w:rsidR="00A46C67" w14:paraId="52E77923" w14:textId="77777777">
        <w:tc>
          <w:tcPr>
            <w:tcW w:w="3456" w:type="dxa"/>
            <w:shd w:val="clear" w:color="auto" w:fill="FFFFFF"/>
          </w:tcPr>
          <w:p w14:paraId="24E24543" w14:textId="77777777" w:rsidR="00A46C67" w:rsidRDefault="001E0702">
            <w:r>
              <w:rPr>
                <w:sz w:val="20"/>
              </w:rPr>
              <w:t>Precio del petróleo (WTI)</w:t>
            </w:r>
          </w:p>
        </w:tc>
        <w:tc>
          <w:tcPr>
            <w:tcW w:w="5184" w:type="dxa"/>
            <w:shd w:val="clear" w:color="auto" w:fill="FFFFFF"/>
          </w:tcPr>
          <w:p w14:paraId="1787E1A0" w14:textId="77777777" w:rsidR="00A46C67" w:rsidRDefault="001E0702">
            <w:r>
              <w:rPr>
                <w:sz w:val="20"/>
              </w:rPr>
              <w:t>Precio international del barril — Investing.com</w:t>
            </w:r>
          </w:p>
        </w:tc>
      </w:tr>
      <w:tr w:rsidR="00A46C67" w14:paraId="54BD67F2" w14:textId="77777777">
        <w:tc>
          <w:tcPr>
            <w:tcW w:w="3456" w:type="dxa"/>
            <w:shd w:val="clear" w:color="auto" w:fill="EDFBF0"/>
          </w:tcPr>
          <w:p w14:paraId="151F0E88" w14:textId="77777777" w:rsidR="00A46C67" w:rsidRDefault="001E0702">
            <w:r>
              <w:rPr>
                <w:sz w:val="20"/>
              </w:rPr>
              <w:t>Tipo de cambio EUR/USD</w:t>
            </w:r>
          </w:p>
        </w:tc>
        <w:tc>
          <w:tcPr>
            <w:tcW w:w="5184" w:type="dxa"/>
            <w:shd w:val="clear" w:color="auto" w:fill="EDFBF0"/>
          </w:tcPr>
          <w:p w14:paraId="637D3093" w14:textId="77777777" w:rsidR="00A46C67" w:rsidRDefault="001E0702">
            <w:r>
              <w:rPr>
                <w:sz w:val="20"/>
              </w:rPr>
              <w:t>Paridad euro/dólar — Investing.com</w:t>
            </w:r>
          </w:p>
        </w:tc>
      </w:tr>
      <w:tr w:rsidR="00A46C67" w14:paraId="2AC52F41" w14:textId="77777777">
        <w:tc>
          <w:tcPr>
            <w:tcW w:w="3456" w:type="dxa"/>
            <w:shd w:val="clear" w:color="auto" w:fill="FFFFFF"/>
          </w:tcPr>
          <w:p w14:paraId="01498204" w14:textId="77777777" w:rsidR="00A46C67" w:rsidRDefault="001E0702">
            <w:r>
              <w:rPr>
                <w:sz w:val="20"/>
              </w:rPr>
              <w:t>PIB / Demanda Interna</w:t>
            </w:r>
          </w:p>
        </w:tc>
        <w:tc>
          <w:tcPr>
            <w:tcW w:w="5184" w:type="dxa"/>
            <w:shd w:val="clear" w:color="auto" w:fill="FFFFFF"/>
          </w:tcPr>
          <w:p w14:paraId="7C0D716C" w14:textId="77777777" w:rsidR="00A46C67" w:rsidRDefault="001E0702">
            <w:r>
              <w:rPr>
                <w:sz w:val="20"/>
              </w:rPr>
              <w:t>Cuentas nacionales trimestrales — BCE</w:t>
            </w:r>
          </w:p>
        </w:tc>
      </w:tr>
      <w:tr w:rsidR="00A46C67" w14:paraId="53B9E327" w14:textId="77777777">
        <w:tc>
          <w:tcPr>
            <w:tcW w:w="3456" w:type="dxa"/>
            <w:shd w:val="clear" w:color="auto" w:fill="EDFBF0"/>
          </w:tcPr>
          <w:p w14:paraId="69B288BB" w14:textId="77777777" w:rsidR="00A46C67" w:rsidRDefault="001E0702">
            <w:r>
              <w:rPr>
                <w:sz w:val="20"/>
              </w:rPr>
              <w:t>Índice de Precios al Consumidor (IPC)</w:t>
            </w:r>
          </w:p>
        </w:tc>
        <w:tc>
          <w:tcPr>
            <w:tcW w:w="5184" w:type="dxa"/>
            <w:shd w:val="clear" w:color="auto" w:fill="EDFBF0"/>
          </w:tcPr>
          <w:p w14:paraId="01347003" w14:textId="77777777" w:rsidR="00A46C67" w:rsidRDefault="001E0702">
            <w:r>
              <w:rPr>
                <w:sz w:val="20"/>
              </w:rPr>
              <w:t>Inflación mensual — INEC / BCE</w:t>
            </w:r>
          </w:p>
        </w:tc>
      </w:tr>
      <w:tr w:rsidR="00A46C67" w14:paraId="79BF22B5" w14:textId="77777777">
        <w:tc>
          <w:tcPr>
            <w:tcW w:w="3456" w:type="dxa"/>
            <w:shd w:val="clear" w:color="auto" w:fill="FFFFFF"/>
          </w:tcPr>
          <w:p w14:paraId="1D4C34A0" w14:textId="77777777" w:rsidR="00A46C67" w:rsidRDefault="001E0702">
            <w:r>
              <w:rPr>
                <w:sz w:val="20"/>
              </w:rPr>
              <w:t>Índice de Confianza del Consumidor (ICC)</w:t>
            </w:r>
          </w:p>
        </w:tc>
        <w:tc>
          <w:tcPr>
            <w:tcW w:w="5184" w:type="dxa"/>
            <w:shd w:val="clear" w:color="auto" w:fill="FFFFFF"/>
          </w:tcPr>
          <w:p w14:paraId="0F8B9AD2" w14:textId="77777777" w:rsidR="00A46C67" w:rsidRDefault="001E0702">
            <w:r>
              <w:rPr>
                <w:sz w:val="20"/>
              </w:rPr>
              <w:t>Expectativas de los hogares — BCE</w:t>
            </w:r>
          </w:p>
        </w:tc>
      </w:tr>
      <w:tr w:rsidR="00A46C67" w14:paraId="18629DD0" w14:textId="77777777">
        <w:tc>
          <w:tcPr>
            <w:tcW w:w="3456" w:type="dxa"/>
            <w:shd w:val="clear" w:color="auto" w:fill="EDFBF0"/>
          </w:tcPr>
          <w:p w14:paraId="34A37157" w14:textId="77777777" w:rsidR="00A46C67" w:rsidRDefault="001E0702">
            <w:r>
              <w:rPr>
                <w:sz w:val="20"/>
              </w:rPr>
              <w:t>Riesgo País (EMBI)</w:t>
            </w:r>
          </w:p>
        </w:tc>
        <w:tc>
          <w:tcPr>
            <w:tcW w:w="5184" w:type="dxa"/>
            <w:shd w:val="clear" w:color="auto" w:fill="EDFBF0"/>
          </w:tcPr>
          <w:p w14:paraId="7D3FEC8B" w14:textId="77777777" w:rsidR="00A46C67" w:rsidRDefault="001E0702">
            <w:r>
              <w:rPr>
                <w:sz w:val="20"/>
              </w:rPr>
              <w:t>Indicador de riesgo soberano — BCE</w:t>
            </w:r>
          </w:p>
        </w:tc>
      </w:tr>
      <w:tr w:rsidR="00A46C67" w14:paraId="16668E5D" w14:textId="77777777">
        <w:tc>
          <w:tcPr>
            <w:tcW w:w="3456" w:type="dxa"/>
            <w:shd w:val="clear" w:color="auto" w:fill="FFFFFF"/>
          </w:tcPr>
          <w:p w14:paraId="1A4CFE38" w14:textId="77777777" w:rsidR="00A46C67" w:rsidRDefault="001E0702">
            <w:r>
              <w:rPr>
                <w:sz w:val="20"/>
              </w:rPr>
              <w:t>Crédito al Sector Privado</w:t>
            </w:r>
          </w:p>
        </w:tc>
        <w:tc>
          <w:tcPr>
            <w:tcW w:w="5184" w:type="dxa"/>
            <w:shd w:val="clear" w:color="auto" w:fill="FFFFFF"/>
          </w:tcPr>
          <w:p w14:paraId="16C17307" w14:textId="77777777" w:rsidR="00A46C67" w:rsidRDefault="001E0702">
            <w:r>
              <w:rPr>
                <w:sz w:val="20"/>
              </w:rPr>
              <w:t>Volumen de crédito — BCE</w:t>
            </w:r>
          </w:p>
        </w:tc>
      </w:tr>
      <w:tr w:rsidR="00A46C67" w14:paraId="27FF7AA5" w14:textId="77777777">
        <w:tc>
          <w:tcPr>
            <w:tcW w:w="3456" w:type="dxa"/>
            <w:shd w:val="clear" w:color="auto" w:fill="EDFBF0"/>
          </w:tcPr>
          <w:p w14:paraId="77704FD0" w14:textId="77777777" w:rsidR="00A46C67" w:rsidRDefault="001E0702">
            <w:r>
              <w:rPr>
                <w:sz w:val="20"/>
              </w:rPr>
              <w:t>Tasa de Interés Activa</w:t>
            </w:r>
          </w:p>
        </w:tc>
        <w:tc>
          <w:tcPr>
            <w:tcW w:w="5184" w:type="dxa"/>
            <w:shd w:val="clear" w:color="auto" w:fill="EDFBF0"/>
          </w:tcPr>
          <w:p w14:paraId="2AB2CA16" w14:textId="77777777" w:rsidR="00A46C67" w:rsidRDefault="001E0702">
            <w:r>
              <w:rPr>
                <w:sz w:val="20"/>
              </w:rPr>
              <w:t>Costo del dinero — BCE / Superintendencia de Bancos</w:t>
            </w:r>
          </w:p>
        </w:tc>
      </w:tr>
      <w:tr w:rsidR="00A46C67" w14:paraId="6C612712" w14:textId="77777777">
        <w:tc>
          <w:tcPr>
            <w:tcW w:w="3456" w:type="dxa"/>
            <w:shd w:val="clear" w:color="auto" w:fill="FFFFFF"/>
          </w:tcPr>
          <w:p w14:paraId="0F10DED1" w14:textId="77777777" w:rsidR="00A46C67" w:rsidRDefault="001E0702">
            <w:r>
              <w:rPr>
                <w:sz w:val="20"/>
              </w:rPr>
              <w:t>Empleo Adecuado Pleno</w:t>
            </w:r>
          </w:p>
        </w:tc>
        <w:tc>
          <w:tcPr>
            <w:tcW w:w="5184" w:type="dxa"/>
            <w:shd w:val="clear" w:color="auto" w:fill="FFFFFF"/>
          </w:tcPr>
          <w:p w14:paraId="1540A75C" w14:textId="77777777" w:rsidR="00A46C67" w:rsidRDefault="001E0702">
            <w:r>
              <w:rPr>
                <w:sz w:val="20"/>
              </w:rPr>
              <w:t>Mercado laboral — INEC</w:t>
            </w:r>
          </w:p>
        </w:tc>
      </w:tr>
      <w:tr w:rsidR="00A46C67" w14:paraId="618C20BB" w14:textId="77777777">
        <w:tc>
          <w:tcPr>
            <w:tcW w:w="3456" w:type="dxa"/>
            <w:shd w:val="clear" w:color="auto" w:fill="EDFBF0"/>
          </w:tcPr>
          <w:p w14:paraId="6624D5A6" w14:textId="77777777" w:rsidR="00A46C67" w:rsidRDefault="001E0702">
            <w:r>
              <w:rPr>
                <w:sz w:val="20"/>
              </w:rPr>
              <w:t>Importaciones de vehículos CBU</w:t>
            </w:r>
          </w:p>
        </w:tc>
        <w:tc>
          <w:tcPr>
            <w:tcW w:w="5184" w:type="dxa"/>
            <w:shd w:val="clear" w:color="auto" w:fill="EDFBF0"/>
          </w:tcPr>
          <w:p w14:paraId="2E2521BD" w14:textId="77777777" w:rsidR="00A46C67" w:rsidRDefault="001E0702">
            <w:r>
              <w:rPr>
                <w:sz w:val="20"/>
              </w:rPr>
              <w:t>Unidades importadas — Veritrade</w:t>
            </w:r>
          </w:p>
        </w:tc>
      </w:tr>
      <w:tr w:rsidR="00A46C67" w14:paraId="70F56360" w14:textId="77777777">
        <w:tc>
          <w:tcPr>
            <w:tcW w:w="3456" w:type="dxa"/>
            <w:shd w:val="clear" w:color="auto" w:fill="FFFFFF"/>
          </w:tcPr>
          <w:p w14:paraId="57D0944D" w14:textId="77777777" w:rsidR="00A46C67" w:rsidRDefault="001E0702">
            <w:r>
              <w:rPr>
                <w:sz w:val="20"/>
              </w:rPr>
              <w:t>Variables Dummy</w:t>
            </w:r>
          </w:p>
        </w:tc>
        <w:tc>
          <w:tcPr>
            <w:tcW w:w="5184" w:type="dxa"/>
            <w:shd w:val="clear" w:color="auto" w:fill="FFFFFF"/>
          </w:tcPr>
          <w:p w14:paraId="77D63D2A" w14:textId="77777777" w:rsidR="00A46C67" w:rsidRDefault="001E0702">
            <w:r>
              <w:rPr>
                <w:sz w:val="20"/>
              </w:rPr>
              <w:t>COVID-19, cambios de IVA, paros nacionales, elecciones presidenciales</w:t>
            </w:r>
          </w:p>
        </w:tc>
      </w:tr>
    </w:tbl>
    <w:p w14:paraId="10F2421A" w14:textId="77777777" w:rsidR="00A46C67" w:rsidRDefault="00A46C67"/>
    <w:p w14:paraId="38DEAC66" w14:textId="77777777" w:rsidR="00A46C67" w:rsidRDefault="001E0702">
      <w:pPr>
        <w:pStyle w:val="Ttulo2"/>
      </w:pPr>
      <w:r>
        <w:rPr>
          <w:color w:val="2E6DA3"/>
        </w:rPr>
        <w:t>3.3  Actualización mensual (ventas_mes.xlsx)</w:t>
      </w:r>
    </w:p>
    <w:p w14:paraId="51888D6F" w14:textId="77777777" w:rsidR="00A46C67" w:rsidRDefault="001E0702">
      <w:pPr>
        <w:spacing w:after="120"/>
      </w:pPr>
      <w:r>
        <w:t>Cada mes, cuando llegan los datos actualizados del mercado, el responsable ejecuta un script llamado Subir_mes.py desde la línea de comandos. Este proceso:</w:t>
      </w:r>
    </w:p>
    <w:p w14:paraId="7EA6C6FE" w14:textId="77777777" w:rsidR="00A46C67" w:rsidRDefault="001E0702">
      <w:pPr>
        <w:pStyle w:val="Listaconvietas"/>
        <w:spacing w:after="60"/>
      </w:pPr>
      <w:r>
        <w:t>Elimina el registro del período que se va a actualizar (para evitar duplicados).</w:t>
      </w:r>
    </w:p>
    <w:p w14:paraId="5F2CFF26" w14:textId="77777777" w:rsidR="00A46C67" w:rsidRDefault="001E0702">
      <w:pPr>
        <w:pStyle w:val="Listaconvietas"/>
        <w:spacing w:after="60"/>
      </w:pPr>
      <w:r>
        <w:t>Inserta los nuevos datos del mes en la base de datos.</w:t>
      </w:r>
    </w:p>
    <w:p w14:paraId="5C453ED4" w14:textId="77777777" w:rsidR="00A46C67" w:rsidRDefault="001E0702">
      <w:pPr>
        <w:pStyle w:val="Listaconvietas"/>
        <w:spacing w:after="60"/>
      </w:pPr>
      <w:r>
        <w:t>Verifica automáticamente que la suma de unidades coincida con el total esperado.</w:t>
      </w:r>
    </w:p>
    <w:p w14:paraId="678825AD" w14:textId="77777777" w:rsidR="00A46C67" w:rsidRDefault="00A46C67"/>
    <w:tbl>
      <w:tblPr>
        <w:tblStyle w:val="Tablaconcuadrcula"/>
        <w:tblW w:w="0" w:type="auto"/>
        <w:tblLook w:val="04A0" w:firstRow="1" w:lastRow="0" w:firstColumn="1" w:lastColumn="0" w:noHBand="0" w:noVBand="1"/>
      </w:tblPr>
      <w:tblGrid>
        <w:gridCol w:w="9066"/>
      </w:tblGrid>
      <w:tr w:rsidR="00A46C67" w14:paraId="265AB89F" w14:textId="77777777">
        <w:tc>
          <w:tcPr>
            <w:tcW w:w="9066" w:type="dxa"/>
            <w:shd w:val="clear" w:color="auto" w:fill="4A235A"/>
          </w:tcPr>
          <w:p w14:paraId="6D1A55CE" w14:textId="77777777" w:rsidR="00A46C67" w:rsidRDefault="001E0702">
            <w:r>
              <w:rPr>
                <w:b/>
                <w:color w:val="FFFFFF"/>
              </w:rPr>
              <w:lastRenderedPageBreak/>
              <w:t>📌</w:t>
            </w:r>
            <w:r>
              <w:rPr>
                <w:b/>
                <w:color w:val="FFFFFF"/>
              </w:rPr>
              <w:t xml:space="preserve">  Nota sobre la base de datos</w:t>
            </w:r>
          </w:p>
        </w:tc>
      </w:tr>
      <w:tr w:rsidR="00A46C67" w14:paraId="4717C38D" w14:textId="77777777">
        <w:tc>
          <w:tcPr>
            <w:tcW w:w="9066" w:type="dxa"/>
            <w:shd w:val="clear" w:color="auto" w:fill="F5EEFF"/>
          </w:tcPr>
          <w:p w14:paraId="01697E1D" w14:textId="77777777" w:rsidR="00A46C67" w:rsidRDefault="001E0702">
            <w:r>
              <w:rPr>
                <w:sz w:val="20"/>
              </w:rPr>
              <w:t>Toda la información se almacena en PostgreSQL, una base de datos relacional alojada en Neon (servicio en la nube). Esto significa que cualquier usuario autorizado puede acceder a los datos actualizados desde cualquier lugar sin necesidad de compartir archivos Excel manualmente.</w:t>
            </w:r>
          </w:p>
        </w:tc>
      </w:tr>
    </w:tbl>
    <w:p w14:paraId="75B5C7B8" w14:textId="77777777" w:rsidR="00A46C67" w:rsidRDefault="00A46C67"/>
    <w:p w14:paraId="59BBDECB" w14:textId="77777777" w:rsidR="00A46C67" w:rsidRDefault="001E0702">
      <w:r>
        <w:br w:type="page"/>
      </w:r>
    </w:p>
    <w:p w14:paraId="175F02D1" w14:textId="77777777" w:rsidR="00A46C67" w:rsidRDefault="001E0702">
      <w:pPr>
        <w:pStyle w:val="Ttulo1"/>
      </w:pPr>
      <w:r>
        <w:rPr>
          <w:color w:val="1E3A5F"/>
          <w:sz w:val="32"/>
        </w:rPr>
        <w:lastRenderedPageBreak/>
        <w:t>4. ¿Cómo se genera un pronóstico? — Paso a paso</w:t>
      </w:r>
    </w:p>
    <w:p w14:paraId="32FBC313" w14:textId="77777777" w:rsidR="00A46C67" w:rsidRDefault="001E0702">
      <w:r>
        <w:t>El proceso de generación de un pronóstico dentro de la aplicación sigue tres etapas bien definidas, que el analista recorre de forma secuencial a través de las pestañas de la pantalla 'Forecast App'.</w:t>
      </w:r>
    </w:p>
    <w:p w14:paraId="7F777DC0" w14:textId="77777777" w:rsidR="00A46C67" w:rsidRDefault="001E0702">
      <w:pPr>
        <w:pStyle w:val="Ttulo2"/>
      </w:pPr>
      <w:r>
        <w:rPr>
          <w:color w:val="1B4332"/>
        </w:rPr>
        <w:t>Paso 1 — Explorar los datos históricos</w:t>
      </w:r>
    </w:p>
    <w:p w14:paraId="26202464" w14:textId="77777777" w:rsidR="00A46C67" w:rsidRDefault="001E0702">
      <w:pPr>
        <w:spacing w:after="120"/>
      </w:pPr>
      <w:r>
        <w:t>Antes de generar cualquier pronóstico, el analista puede explorar el comportamiento pasado del mercado. Esta primera pestaña permite filtrar la información por segmento, marca, modelo, provincia y tipo de combustible, y muestra de forma visual:</w:t>
      </w:r>
    </w:p>
    <w:p w14:paraId="3A20CAB3" w14:textId="77777777" w:rsidR="00A46C67" w:rsidRDefault="001E0702">
      <w:pPr>
        <w:pStyle w:val="Listaconvietas"/>
        <w:spacing w:after="60"/>
      </w:pPr>
      <w:r>
        <w:t>Indicadores clave: total de ventas, promedio de los últimos 12 meses, mejor mes registrado, desviación estándar y crecimiento acumulado del año.</w:t>
      </w:r>
    </w:p>
    <w:p w14:paraId="170CFB9D" w14:textId="77777777" w:rsidR="00A46C67" w:rsidRDefault="001E0702">
      <w:pPr>
        <w:pStyle w:val="Listaconvietas"/>
        <w:spacing w:after="60"/>
      </w:pPr>
      <w:r>
        <w:t>Gráficos de evolución mensual, participación de mercado por segmento (pie chart) y cómo ha cambiado el share a lo largo del tiempo.</w:t>
      </w:r>
    </w:p>
    <w:p w14:paraId="681D6D8E" w14:textId="77777777" w:rsidR="00A46C67" w:rsidRDefault="001E0702">
      <w:pPr>
        <w:pStyle w:val="Listaconvietas"/>
        <w:spacing w:after="60"/>
      </w:pPr>
      <w:r>
        <w:t>Análisis técnico: estacionalidad por mes del año (box plots), variación año a año (YoY), variación mes a mes (MoM), descomposición de la serie en tendencia + estacionalidad + residuos (método STL), y los patrones de autocorrelación (ACF / PACF) que ayudan a entender la inercia de la serie.</w:t>
      </w:r>
    </w:p>
    <w:p w14:paraId="4C00D147" w14:textId="77777777" w:rsidR="00A46C67" w:rsidRDefault="001E0702">
      <w:pPr>
        <w:pStyle w:val="Listaconvietas"/>
        <w:spacing w:after="60"/>
      </w:pPr>
      <w:r>
        <w:t>Opción de exportar los datos filtrados a un archivo CSV.</w:t>
      </w:r>
    </w:p>
    <w:p w14:paraId="566971D3" w14:textId="77777777" w:rsidR="00A46C67" w:rsidRDefault="00A46C67"/>
    <w:p w14:paraId="26408E1C" w14:textId="77777777" w:rsidR="00A46C67" w:rsidRDefault="001E0702">
      <w:pPr>
        <w:pStyle w:val="Ttulo2"/>
      </w:pPr>
      <w:r>
        <w:rPr>
          <w:color w:val="1B4332"/>
        </w:rPr>
        <w:t>Paso 2 — Definir los escenarios de variables económicas</w:t>
      </w:r>
    </w:p>
    <w:p w14:paraId="15989593" w14:textId="77777777" w:rsidR="00A46C67" w:rsidRDefault="001E0702">
      <w:pPr>
        <w:spacing w:after="160"/>
      </w:pPr>
      <w:r>
        <w:t>Aquí el analista decide qué variables económicas va a incluir en el modelo y cómo se proyectarán en el futuro. Este paso tiene tres partes:</w:t>
      </w:r>
    </w:p>
    <w:p w14:paraId="19AEF43C" w14:textId="77777777" w:rsidR="00A46C67" w:rsidRDefault="001E0702">
      <w:pPr>
        <w:spacing w:after="80"/>
      </w:pPr>
      <w:r>
        <w:rPr>
          <w:b/>
          <w:color w:val="2E6DA3"/>
        </w:rPr>
        <w:t>a)  Selección de variables (drivers)</w:t>
      </w:r>
    </w:p>
    <w:p w14:paraId="67DC4E61" w14:textId="77777777" w:rsidR="00A46C67" w:rsidRDefault="001E0702">
      <w:pPr>
        <w:spacing w:after="160"/>
      </w:pPr>
      <w:r>
        <w:t>La aplicación calcula automáticamente la correlación entre cada variable económica y las ventas del segmento elegido. Le da más peso a la correlación de crecimiento año a año (YoY) que a la correlación simple, ya que esa es la que mejor captura la relación real entre la economía y las ventas. El analista ve una tabla ordenada y puede seleccionar con un checkbox cuáles variables incluir.</w:t>
      </w:r>
    </w:p>
    <w:p w14:paraId="09B7BC01" w14:textId="77777777" w:rsidR="00A46C67" w:rsidRDefault="001E0702">
      <w:pPr>
        <w:spacing w:after="80"/>
      </w:pPr>
      <w:r>
        <w:rPr>
          <w:b/>
          <w:color w:val="2E6DA3"/>
        </w:rPr>
        <w:t>b)  Proyección automática de cada variable</w:t>
      </w:r>
    </w:p>
    <w:p w14:paraId="68B420E4" w14:textId="77777777" w:rsidR="00A46C67" w:rsidRDefault="001E0702">
      <w:pPr>
        <w:spacing w:after="120"/>
      </w:pPr>
      <w:r>
        <w:t>Para cada variable seleccionada, la aplicación proyecta su comportamiento futuro usando modelos de series de tiempo (AutoARIMA o SARIMAX). Este proceso genera automáticamente tres versiones del futuro para cada variable:</w:t>
      </w:r>
    </w:p>
    <w:p w14:paraId="615EC350" w14:textId="77777777" w:rsidR="00A46C67" w:rsidRDefault="001E0702">
      <w:pPr>
        <w:pStyle w:val="Listaconvietas"/>
        <w:spacing w:after="60"/>
      </w:pPr>
      <w:r>
        <w:t>Escenario Normal: el comportamiento más probable, siguiendo la tendencia histórica.</w:t>
      </w:r>
    </w:p>
    <w:p w14:paraId="0B77B0E7" w14:textId="77777777" w:rsidR="00A46C67" w:rsidRDefault="001E0702">
      <w:pPr>
        <w:pStyle w:val="Listaconvietas"/>
        <w:spacing w:after="60"/>
      </w:pPr>
      <w:r>
        <w:t>Escenario Optimista: valores más favorables para el mercado automotriz.</w:t>
      </w:r>
    </w:p>
    <w:p w14:paraId="09CA436C" w14:textId="77777777" w:rsidR="00A46C67" w:rsidRDefault="001E0702">
      <w:pPr>
        <w:pStyle w:val="Listaconvietas"/>
        <w:spacing w:after="60"/>
      </w:pPr>
      <w:r>
        <w:t>Escenario Pesimista: valores que reflejarían un entorno económico desfavorable.</w:t>
      </w:r>
    </w:p>
    <w:p w14:paraId="2F892DDF" w14:textId="77777777" w:rsidR="00A46C67" w:rsidRDefault="00A46C67"/>
    <w:p w14:paraId="3CB1A139" w14:textId="77777777" w:rsidR="00A46C67" w:rsidRDefault="001E0702">
      <w:pPr>
        <w:spacing w:after="80"/>
      </w:pPr>
      <w:r>
        <w:rPr>
          <w:b/>
          <w:color w:val="2E6DA3"/>
        </w:rPr>
        <w:t>c)  Ajuste manual del analista</w:t>
      </w:r>
    </w:p>
    <w:p w14:paraId="0582E00D" w14:textId="77777777" w:rsidR="00A46C67" w:rsidRDefault="001E0702">
      <w:r>
        <w:t xml:space="preserve">El analista puede corregir los valores automáticos usando sliders interactivos o editando directamente la tabla. Esto permite incorporar el conocimiento experto del negocio (por ejemplo, si </w:t>
      </w:r>
      <w:r>
        <w:lastRenderedPageBreak/>
        <w:t>se sabe que habrá una reforma tributaria o un evento político que afecte las ventas). Una vez conforme, guarda el escenario con un nombre en la base de datos.</w:t>
      </w:r>
    </w:p>
    <w:p w14:paraId="08DA0C1F" w14:textId="77777777" w:rsidR="00A46C67" w:rsidRDefault="001E0702">
      <w:r>
        <w:br w:type="page"/>
      </w:r>
    </w:p>
    <w:p w14:paraId="300FB9FC" w14:textId="77777777" w:rsidR="00A46C67" w:rsidRDefault="001E0702">
      <w:pPr>
        <w:pStyle w:val="Ttulo2"/>
      </w:pPr>
      <w:r>
        <w:rPr>
          <w:color w:val="1B4332"/>
        </w:rPr>
        <w:lastRenderedPageBreak/>
        <w:t>Paso 3 — Ejecutar el pronóstico de ventas</w:t>
      </w:r>
    </w:p>
    <w:p w14:paraId="665EBF47" w14:textId="77777777" w:rsidR="00A46C67" w:rsidRDefault="001E0702">
      <w:pPr>
        <w:spacing w:after="160"/>
      </w:pPr>
      <w:r>
        <w:t>Con los escenarios de variables económicas ya guardados, el analista pasa a la tercera pestaña y ejecuta el pronóstico. Aquí ocurre lo más importante del proceso:</w:t>
      </w:r>
    </w:p>
    <w:p w14:paraId="5BDCF29D" w14:textId="77777777" w:rsidR="00A46C67" w:rsidRDefault="001E0702">
      <w:pPr>
        <w:spacing w:after="80"/>
      </w:pPr>
      <w:r>
        <w:rPr>
          <w:b/>
          <w:color w:val="2E6DA3"/>
        </w:rPr>
        <w:t>a)  Competencia de modelos de inteligencia artificial</w:t>
      </w:r>
    </w:p>
    <w:p w14:paraId="4654597C" w14:textId="77777777" w:rsidR="00A46C67" w:rsidRDefault="001E0702">
      <w:pPr>
        <w:spacing w:after="160"/>
      </w:pPr>
      <w:r>
        <w:t xml:space="preserve">La aplicación no elige un modelo de pronóstico a ciegas. En cambio, hace competir a cuatro algoritmos distintos para ver cuál predice mejor los datos históricos que ya conocemos. Esto se hace con una técnica llamada Walk-Forward Cross-Validation: el sistema simula 5 rondas de predicción, en cada una usa los datos hasta cierta fecha para predecir los siguientes 4 meses, y mide qué tan cerca estuvo de la realidad. Los meses marcados por eventos atípicos (pandemia COVID-19, paros nacionales, cambio del IVA en </w:t>
      </w:r>
      <w:r>
        <w:t>2024) son excluidos del cálculo del error para no penalizar al modelo por eventos imposibles de prever.</w:t>
      </w:r>
    </w:p>
    <w:tbl>
      <w:tblPr>
        <w:tblStyle w:val="Tablaconcuadrcula"/>
        <w:tblW w:w="0" w:type="auto"/>
        <w:tblLook w:val="04A0" w:firstRow="1" w:lastRow="0" w:firstColumn="1" w:lastColumn="0" w:noHBand="0" w:noVBand="1"/>
      </w:tblPr>
      <w:tblGrid>
        <w:gridCol w:w="3456"/>
        <w:gridCol w:w="5184"/>
      </w:tblGrid>
      <w:tr w:rsidR="00A46C67" w14:paraId="4A12C984" w14:textId="77777777">
        <w:tc>
          <w:tcPr>
            <w:tcW w:w="3456" w:type="dxa"/>
            <w:shd w:val="clear" w:color="auto" w:fill="654E00"/>
          </w:tcPr>
          <w:p w14:paraId="2CF9CBD4" w14:textId="77777777" w:rsidR="00A46C67" w:rsidRDefault="001E0702">
            <w:r>
              <w:rPr>
                <w:b/>
                <w:color w:val="FFFFFF"/>
                <w:sz w:val="20"/>
              </w:rPr>
              <w:t>Modelo</w:t>
            </w:r>
          </w:p>
        </w:tc>
        <w:tc>
          <w:tcPr>
            <w:tcW w:w="5184" w:type="dxa"/>
            <w:shd w:val="clear" w:color="auto" w:fill="654E00"/>
          </w:tcPr>
          <w:p w14:paraId="060D5F6F" w14:textId="77777777" w:rsidR="00A46C67" w:rsidRDefault="001E0702">
            <w:r>
              <w:rPr>
                <w:b/>
                <w:color w:val="FFFFFF"/>
                <w:sz w:val="20"/>
              </w:rPr>
              <w:t>¿Cómo funciona?</w:t>
            </w:r>
          </w:p>
        </w:tc>
      </w:tr>
      <w:tr w:rsidR="00A46C67" w14:paraId="2E12B63E" w14:textId="77777777">
        <w:tc>
          <w:tcPr>
            <w:tcW w:w="3456" w:type="dxa"/>
            <w:shd w:val="clear" w:color="auto" w:fill="FFFDE7"/>
          </w:tcPr>
          <w:p w14:paraId="4DC99C87" w14:textId="77777777" w:rsidR="00A46C67" w:rsidRDefault="001E0702">
            <w:r>
              <w:rPr>
                <w:sz w:val="20"/>
              </w:rPr>
              <w:t>XGBoost</w:t>
            </w:r>
          </w:p>
        </w:tc>
        <w:tc>
          <w:tcPr>
            <w:tcW w:w="5184" w:type="dxa"/>
            <w:shd w:val="clear" w:color="auto" w:fill="FFFDE7"/>
          </w:tcPr>
          <w:p w14:paraId="4A86BD23" w14:textId="77777777" w:rsidR="00A46C67" w:rsidRDefault="001E0702">
            <w:r>
              <w:rPr>
                <w:sz w:val="20"/>
              </w:rPr>
              <w:t>Algoritmo de boosting de árboles de decisión. Muy potente para capturar patrones no lineales. Usa las variables del entorno económico más indicadores de tendencia y estacionalidad calculados internamente.</w:t>
            </w:r>
          </w:p>
        </w:tc>
      </w:tr>
      <w:tr w:rsidR="00A46C67" w14:paraId="21C8A4C2" w14:textId="77777777">
        <w:tc>
          <w:tcPr>
            <w:tcW w:w="3456" w:type="dxa"/>
            <w:shd w:val="clear" w:color="auto" w:fill="FFFFFF"/>
          </w:tcPr>
          <w:p w14:paraId="1EE629CA" w14:textId="77777777" w:rsidR="00A46C67" w:rsidRDefault="001E0702">
            <w:r>
              <w:rPr>
                <w:sz w:val="20"/>
              </w:rPr>
              <w:t>Random Forest</w:t>
            </w:r>
          </w:p>
        </w:tc>
        <w:tc>
          <w:tcPr>
            <w:tcW w:w="5184" w:type="dxa"/>
            <w:shd w:val="clear" w:color="auto" w:fill="FFFFFF"/>
          </w:tcPr>
          <w:p w14:paraId="7EDDE5DF" w14:textId="77777777" w:rsidR="00A46C67" w:rsidRDefault="001E0702">
            <w:r>
              <w:rPr>
                <w:sz w:val="20"/>
              </w:rPr>
              <w:t>Conjunto de árboles de decisión entrenados en paralelo. Más robusto ante datos atípicos que XGBoost. También usa el conjunto completo de variables.</w:t>
            </w:r>
          </w:p>
        </w:tc>
      </w:tr>
      <w:tr w:rsidR="00A46C67" w14:paraId="74BA61AD" w14:textId="77777777">
        <w:tc>
          <w:tcPr>
            <w:tcW w:w="3456" w:type="dxa"/>
            <w:shd w:val="clear" w:color="auto" w:fill="FFFDE7"/>
          </w:tcPr>
          <w:p w14:paraId="29656CFC" w14:textId="77777777" w:rsidR="00A46C67" w:rsidRDefault="001E0702">
            <w:r>
              <w:rPr>
                <w:sz w:val="20"/>
              </w:rPr>
              <w:t>SARIMAX</w:t>
            </w:r>
          </w:p>
        </w:tc>
        <w:tc>
          <w:tcPr>
            <w:tcW w:w="5184" w:type="dxa"/>
            <w:shd w:val="clear" w:color="auto" w:fill="FFFDE7"/>
          </w:tcPr>
          <w:p w14:paraId="3312D677" w14:textId="77777777" w:rsidR="00A46C67" w:rsidRDefault="001E0702">
            <w:r>
              <w:rPr>
                <w:sz w:val="20"/>
              </w:rPr>
              <w:t>Modelo estadístico clásico de series de tiempo con componente estacional y variables externas. Muy interpretable y robusto cuando los datos históricos son limitados.</w:t>
            </w:r>
          </w:p>
        </w:tc>
      </w:tr>
      <w:tr w:rsidR="00A46C67" w14:paraId="0B938DE0" w14:textId="77777777">
        <w:tc>
          <w:tcPr>
            <w:tcW w:w="3456" w:type="dxa"/>
            <w:shd w:val="clear" w:color="auto" w:fill="FFFFFF"/>
          </w:tcPr>
          <w:p w14:paraId="2D4230DF" w14:textId="77777777" w:rsidR="00A46C67" w:rsidRDefault="001E0702">
            <w:r>
              <w:rPr>
                <w:sz w:val="20"/>
              </w:rPr>
              <w:t>Prophet</w:t>
            </w:r>
          </w:p>
        </w:tc>
        <w:tc>
          <w:tcPr>
            <w:tcW w:w="5184" w:type="dxa"/>
            <w:shd w:val="clear" w:color="auto" w:fill="FFFFFF"/>
          </w:tcPr>
          <w:p w14:paraId="5F599AC6" w14:textId="77777777" w:rsidR="00A46C67" w:rsidRDefault="001E0702">
            <w:r>
              <w:rPr>
                <w:sz w:val="20"/>
              </w:rPr>
              <w:t>Modelo desarrollado por Meta (Facebook), especialmente diseñado para series de tiempo con efectos estacionales fuertes y cambios de tendencia. Las variables económicas se incorporan como regresores adicionales.</w:t>
            </w:r>
          </w:p>
        </w:tc>
      </w:tr>
    </w:tbl>
    <w:p w14:paraId="36B68C17" w14:textId="77777777" w:rsidR="00A46C67" w:rsidRDefault="00A46C67"/>
    <w:p w14:paraId="14290D4C" w14:textId="77777777" w:rsidR="00A46C67" w:rsidRDefault="001E0702">
      <w:pPr>
        <w:spacing w:after="80"/>
      </w:pPr>
      <w:r>
        <w:rPr>
          <w:b/>
          <w:color w:val="2E6DA3"/>
        </w:rPr>
        <w:t>b)  El modelo ganador y el pronóstico final</w:t>
      </w:r>
    </w:p>
    <w:p w14:paraId="05EFE645" w14:textId="77777777" w:rsidR="00A46C67" w:rsidRDefault="001E0702">
      <w:pPr>
        <w:spacing w:after="160"/>
      </w:pPr>
      <w:r>
        <w:t>El modelo que tenga el menor error porcentual absoluto medio (MAPE) gana la competencia. Luego, ese modelo se vuelve a entrenar usando todos los datos históricos disponibles (no solo una parte) para aprovechar al máximo la información antes de proyectar el futuro.</w:t>
      </w:r>
    </w:p>
    <w:p w14:paraId="5F618762" w14:textId="77777777" w:rsidR="00A46C67" w:rsidRDefault="001E0702">
      <w:pPr>
        <w:spacing w:after="120"/>
      </w:pPr>
      <w:r>
        <w:t>El pronóstico se hace de forma dinámica: para cada mes futuro que predice, el modelo usa como entrada el resultado que recién calculó para el mes anterior. Esto replica mejor la realidad que simplemente aplicar una fórmula estática. El resultado final incluye, para cada mes del horizonte elegido:</w:t>
      </w:r>
    </w:p>
    <w:p w14:paraId="3B939BC9" w14:textId="77777777" w:rsidR="00A46C67" w:rsidRDefault="001E0702">
      <w:pPr>
        <w:pStyle w:val="Listaconvietas"/>
        <w:spacing w:after="60"/>
      </w:pPr>
      <w:r>
        <w:t>Proyección central (escenario normal).</w:t>
      </w:r>
    </w:p>
    <w:p w14:paraId="28CC380D" w14:textId="77777777" w:rsidR="00A46C67" w:rsidRDefault="001E0702">
      <w:pPr>
        <w:pStyle w:val="Listaconvietas"/>
        <w:spacing w:after="60"/>
      </w:pPr>
      <w:r>
        <w:t>Proyección optimista y pesimista.</w:t>
      </w:r>
    </w:p>
    <w:p w14:paraId="3D8F0FE2" w14:textId="77777777" w:rsidR="00A46C67" w:rsidRDefault="001E0702">
      <w:pPr>
        <w:pStyle w:val="Listaconvietas"/>
        <w:spacing w:after="60"/>
      </w:pPr>
      <w:r>
        <w:t>Intervalo de confianza (rango dentro del cual se espera que caiga el valor real, calculado como ±1.96 veces el error histórico del modelo).</w:t>
      </w:r>
    </w:p>
    <w:p w14:paraId="34611DAE" w14:textId="77777777" w:rsidR="00A46C67" w:rsidRDefault="00A46C67"/>
    <w:p w14:paraId="0CBC681E" w14:textId="77777777" w:rsidR="00A46C67" w:rsidRDefault="001E0702">
      <w:pPr>
        <w:spacing w:after="80"/>
      </w:pPr>
      <w:r>
        <w:rPr>
          <w:b/>
          <w:color w:val="2E6DA3"/>
        </w:rPr>
        <w:lastRenderedPageBreak/>
        <w:t>c)  Desagregación del pronóstico por modelo y provincia</w:t>
      </w:r>
    </w:p>
    <w:p w14:paraId="32F2FA73" w14:textId="77777777" w:rsidR="00A46C67" w:rsidRDefault="001E0702">
      <w:pPr>
        <w:spacing w:after="120"/>
      </w:pPr>
      <w:r>
        <w:t>Una vez que se tiene el pronóstico del total de la industria, la aplicación distribuye ese total hacia abajo en la jerarquía, siguiendo el método top-down:</w:t>
      </w:r>
    </w:p>
    <w:p w14:paraId="2E7EE66B" w14:textId="77777777" w:rsidR="00A46C67" w:rsidRDefault="001E0702">
      <w:pPr>
        <w:pStyle w:val="Listaconvietas"/>
        <w:spacing w:after="60"/>
      </w:pPr>
      <w:r>
        <w:t>Primero calcula qué porcentaje del mercado total corresponde históricamente a cada segmento (SUV, Sedán, Pickup…).</w:t>
      </w:r>
    </w:p>
    <w:p w14:paraId="555A6C23" w14:textId="77777777" w:rsidR="00A46C67" w:rsidRDefault="001E0702">
      <w:pPr>
        <w:pStyle w:val="Listaconvietas"/>
        <w:spacing w:after="60"/>
      </w:pPr>
      <w:r>
        <w:t>Luego, dentro de cada segmento, calcula la participación de cada marca/modelo/provincia en los últimos meses.</w:t>
      </w:r>
    </w:p>
    <w:p w14:paraId="08F36FAE" w14:textId="77777777" w:rsidR="00A46C67" w:rsidRDefault="001E0702">
      <w:pPr>
        <w:pStyle w:val="Listaconvietas"/>
        <w:spacing w:after="60"/>
      </w:pPr>
      <w:r>
        <w:t>Finalmente multiplica esos porcentajes por el total proyectado para obtener las unidades estimadas de cada combinación.</w:t>
      </w:r>
    </w:p>
    <w:p w14:paraId="7E102E70" w14:textId="77777777" w:rsidR="00A46C67" w:rsidRDefault="001E0702">
      <w:pPr>
        <w:pStyle w:val="Listaconvietas"/>
        <w:spacing w:after="60"/>
      </w:pPr>
      <w:r>
        <w:t>El redondeo se hace de forma que la suma de todas las partes siempre coincida exactamente con el total proyectado.</w:t>
      </w:r>
    </w:p>
    <w:p w14:paraId="4DD282C9" w14:textId="77777777" w:rsidR="00A46C67" w:rsidRDefault="00A46C67"/>
    <w:p w14:paraId="1FF03BDA" w14:textId="77777777" w:rsidR="00A46C67" w:rsidRDefault="001E0702">
      <w:pPr>
        <w:pStyle w:val="Ttulo1"/>
      </w:pPr>
      <w:r>
        <w:rPr>
          <w:color w:val="1E3A5F"/>
          <w:sz w:val="32"/>
        </w:rPr>
        <w:t>5. ¿Qué resultados entrega la aplicación?</w:t>
      </w:r>
    </w:p>
    <w:p w14:paraId="5E34E413" w14:textId="77777777" w:rsidR="00A46C67" w:rsidRDefault="001E0702">
      <w:pPr>
        <w:spacing w:after="160"/>
      </w:pPr>
      <w:r>
        <w:t>Una vez ejecutado el pronóstico, el dashboard principal de la aplicación concentra todos los resultados de forma visual e interactiva. A continuación se describen las salidas disponibles:</w:t>
      </w:r>
    </w:p>
    <w:tbl>
      <w:tblPr>
        <w:tblStyle w:val="Tablaconcuadrcula"/>
        <w:tblW w:w="0" w:type="auto"/>
        <w:tblLook w:val="04A0" w:firstRow="1" w:lastRow="0" w:firstColumn="1" w:lastColumn="0" w:noHBand="0" w:noVBand="1"/>
      </w:tblPr>
      <w:tblGrid>
        <w:gridCol w:w="3456"/>
        <w:gridCol w:w="5184"/>
      </w:tblGrid>
      <w:tr w:rsidR="00A46C67" w14:paraId="5CC94C96" w14:textId="77777777">
        <w:tc>
          <w:tcPr>
            <w:tcW w:w="3456" w:type="dxa"/>
            <w:shd w:val="clear" w:color="auto" w:fill="6D3C00"/>
          </w:tcPr>
          <w:p w14:paraId="2E1E8A7D" w14:textId="77777777" w:rsidR="00A46C67" w:rsidRDefault="001E0702">
            <w:r>
              <w:rPr>
                <w:b/>
                <w:color w:val="FFFFFF"/>
                <w:sz w:val="20"/>
              </w:rPr>
              <w:t>Salida</w:t>
            </w:r>
          </w:p>
        </w:tc>
        <w:tc>
          <w:tcPr>
            <w:tcW w:w="5184" w:type="dxa"/>
            <w:shd w:val="clear" w:color="auto" w:fill="6D3C00"/>
          </w:tcPr>
          <w:p w14:paraId="64B3B23A" w14:textId="77777777" w:rsidR="00A46C67" w:rsidRDefault="001E0702">
            <w:r>
              <w:rPr>
                <w:b/>
                <w:color w:val="FFFFFF"/>
                <w:sz w:val="20"/>
              </w:rPr>
              <w:t>Descripción</w:t>
            </w:r>
          </w:p>
        </w:tc>
      </w:tr>
      <w:tr w:rsidR="00A46C67" w14:paraId="71AF4C39" w14:textId="77777777">
        <w:tc>
          <w:tcPr>
            <w:tcW w:w="3456" w:type="dxa"/>
            <w:shd w:val="clear" w:color="auto" w:fill="FFF8EE"/>
          </w:tcPr>
          <w:p w14:paraId="318BF773" w14:textId="77777777" w:rsidR="00A46C67" w:rsidRDefault="001E0702">
            <w:r>
              <w:rPr>
                <w:sz w:val="20"/>
              </w:rPr>
              <w:t>📈</w:t>
            </w:r>
            <w:r>
              <w:rPr>
                <w:sz w:val="20"/>
              </w:rPr>
              <w:t xml:space="preserve">  Gráfico real + proyección</w:t>
            </w:r>
          </w:p>
        </w:tc>
        <w:tc>
          <w:tcPr>
            <w:tcW w:w="5184" w:type="dxa"/>
            <w:shd w:val="clear" w:color="auto" w:fill="FFF8EE"/>
          </w:tcPr>
          <w:p w14:paraId="61A0D243" w14:textId="77777777" w:rsidR="00A46C67" w:rsidRDefault="001E0702">
            <w:r>
              <w:rPr>
                <w:sz w:val="20"/>
              </w:rPr>
              <w:t>Serie histórica de ventas unida a los tres escenarios proyectados (normal, optimista, pesimista) con el intervalo de confianza sombreado.</w:t>
            </w:r>
          </w:p>
        </w:tc>
      </w:tr>
      <w:tr w:rsidR="00A46C67" w14:paraId="4D2393C1" w14:textId="77777777">
        <w:tc>
          <w:tcPr>
            <w:tcW w:w="3456" w:type="dxa"/>
            <w:shd w:val="clear" w:color="auto" w:fill="FFFFFF"/>
          </w:tcPr>
          <w:p w14:paraId="6D0C1885" w14:textId="77777777" w:rsidR="00A46C67" w:rsidRDefault="001E0702">
            <w:r>
              <w:rPr>
                <w:sz w:val="20"/>
              </w:rPr>
              <w:t>📅</w:t>
            </w:r>
            <w:r>
              <w:rPr>
                <w:sz w:val="20"/>
              </w:rPr>
              <w:t xml:space="preserve">  Crecimiento anual</w:t>
            </w:r>
          </w:p>
        </w:tc>
        <w:tc>
          <w:tcPr>
            <w:tcW w:w="5184" w:type="dxa"/>
            <w:shd w:val="clear" w:color="auto" w:fill="FFFFFF"/>
          </w:tcPr>
          <w:p w14:paraId="0415A33A" w14:textId="77777777" w:rsidR="00A46C67" w:rsidRDefault="001E0702">
            <w:r>
              <w:rPr>
                <w:sz w:val="20"/>
              </w:rPr>
              <w:t>Tabla y barras que muestran el crecimiento real de cada año pasado y el esperado para los años proyectados, comparando los tres escenarios.</w:t>
            </w:r>
          </w:p>
        </w:tc>
      </w:tr>
      <w:tr w:rsidR="00A46C67" w14:paraId="16C81040" w14:textId="77777777">
        <w:tc>
          <w:tcPr>
            <w:tcW w:w="3456" w:type="dxa"/>
            <w:shd w:val="clear" w:color="auto" w:fill="FFF8EE"/>
          </w:tcPr>
          <w:p w14:paraId="68E828FB" w14:textId="77777777" w:rsidR="00A46C67" w:rsidRDefault="001E0702">
            <w:r>
              <w:rPr>
                <w:sz w:val="20"/>
              </w:rPr>
              <w:t>🔄</w:t>
            </w:r>
            <w:r>
              <w:rPr>
                <w:sz w:val="20"/>
              </w:rPr>
              <w:t xml:space="preserve">  Análisis de estacionalidad</w:t>
            </w:r>
          </w:p>
        </w:tc>
        <w:tc>
          <w:tcPr>
            <w:tcW w:w="5184" w:type="dxa"/>
            <w:shd w:val="clear" w:color="auto" w:fill="FFF8EE"/>
          </w:tcPr>
          <w:p w14:paraId="2D79052B" w14:textId="77777777" w:rsidR="00A46C67" w:rsidRDefault="001E0702">
            <w:r>
              <w:rPr>
                <w:sz w:val="20"/>
              </w:rPr>
              <w:t>Gráficos de los últimos 3 años que muestran el patrón estacional mes a mes, útil para anticipar picos y valles de venta.</w:t>
            </w:r>
          </w:p>
        </w:tc>
      </w:tr>
      <w:tr w:rsidR="00A46C67" w14:paraId="01FCE8DC" w14:textId="77777777">
        <w:tc>
          <w:tcPr>
            <w:tcW w:w="3456" w:type="dxa"/>
            <w:shd w:val="clear" w:color="auto" w:fill="FFFFFF"/>
          </w:tcPr>
          <w:p w14:paraId="1424219F" w14:textId="77777777" w:rsidR="00A46C67" w:rsidRDefault="001E0702">
            <w:r>
              <w:rPr>
                <w:sz w:val="20"/>
              </w:rPr>
              <w:t>📊</w:t>
            </w:r>
            <w:r>
              <w:rPr>
                <w:sz w:val="20"/>
              </w:rPr>
              <w:t xml:space="preserve">  Tabla desagregada</w:t>
            </w:r>
          </w:p>
        </w:tc>
        <w:tc>
          <w:tcPr>
            <w:tcW w:w="5184" w:type="dxa"/>
            <w:shd w:val="clear" w:color="auto" w:fill="FFFFFF"/>
          </w:tcPr>
          <w:p w14:paraId="492A9758" w14:textId="77777777" w:rsidR="00A46C67" w:rsidRDefault="001E0702">
            <w:r>
              <w:rPr>
                <w:sz w:val="20"/>
              </w:rPr>
              <w:t>Vista detallada filtrable por escenario, modelo, provincia y segmento, con las unidades proyectadas para cada combinación posible.</w:t>
            </w:r>
          </w:p>
        </w:tc>
      </w:tr>
      <w:tr w:rsidR="00A46C67" w14:paraId="6F956D98" w14:textId="77777777">
        <w:tc>
          <w:tcPr>
            <w:tcW w:w="3456" w:type="dxa"/>
            <w:shd w:val="clear" w:color="auto" w:fill="FFF8EE"/>
          </w:tcPr>
          <w:p w14:paraId="5E7DE3E3" w14:textId="77777777" w:rsidR="00A46C67" w:rsidRDefault="001E0702">
            <w:r>
              <w:rPr>
                <w:sz w:val="20"/>
              </w:rPr>
              <w:t>📑</w:t>
            </w:r>
            <w:r>
              <w:rPr>
                <w:sz w:val="20"/>
              </w:rPr>
              <w:t xml:space="preserve">  Ficha técnica del pronóstico</w:t>
            </w:r>
          </w:p>
        </w:tc>
        <w:tc>
          <w:tcPr>
            <w:tcW w:w="5184" w:type="dxa"/>
            <w:shd w:val="clear" w:color="auto" w:fill="FFF8EE"/>
          </w:tcPr>
          <w:p w14:paraId="1E9C5C80" w14:textId="77777777" w:rsidR="00A46C67" w:rsidRDefault="001E0702">
            <w:r>
              <w:rPr>
                <w:sz w:val="20"/>
              </w:rPr>
              <w:t>Resumen ejecutivo: modelo ganador, drivers utilizados, período de entrenamiento, errores de validación (MAPE, MAE, RMSE) y comparativa entre todos los modelos.</w:t>
            </w:r>
          </w:p>
        </w:tc>
      </w:tr>
      <w:tr w:rsidR="00A46C67" w14:paraId="15DD470E" w14:textId="77777777">
        <w:tc>
          <w:tcPr>
            <w:tcW w:w="3456" w:type="dxa"/>
            <w:shd w:val="clear" w:color="auto" w:fill="FFFFFF"/>
          </w:tcPr>
          <w:p w14:paraId="529A4AEA" w14:textId="77777777" w:rsidR="00A46C67" w:rsidRDefault="001E0702">
            <w:r>
              <w:rPr>
                <w:sz w:val="20"/>
              </w:rPr>
              <w:t>💾</w:t>
            </w:r>
            <w:r>
              <w:rPr>
                <w:sz w:val="20"/>
              </w:rPr>
              <w:t xml:space="preserve">  Exportación CSV</w:t>
            </w:r>
          </w:p>
        </w:tc>
        <w:tc>
          <w:tcPr>
            <w:tcW w:w="5184" w:type="dxa"/>
            <w:shd w:val="clear" w:color="auto" w:fill="FFFFFF"/>
          </w:tcPr>
          <w:p w14:paraId="0438E607" w14:textId="77777777" w:rsidR="00A46C67" w:rsidRDefault="001E0702">
            <w:r>
              <w:rPr>
                <w:sz w:val="20"/>
              </w:rPr>
              <w:t>Descarga de la tabla desagregada completa en formato Excel/CSV para usarla en otros análisis o reportes.</w:t>
            </w:r>
          </w:p>
        </w:tc>
      </w:tr>
      <w:tr w:rsidR="00A46C67" w14:paraId="7FD986D6" w14:textId="77777777">
        <w:tc>
          <w:tcPr>
            <w:tcW w:w="3456" w:type="dxa"/>
            <w:shd w:val="clear" w:color="auto" w:fill="FFF8EE"/>
          </w:tcPr>
          <w:p w14:paraId="64FB9383" w14:textId="77777777" w:rsidR="00A46C67" w:rsidRDefault="001E0702">
            <w:r>
              <w:rPr>
                <w:sz w:val="20"/>
              </w:rPr>
              <w:t>📄</w:t>
            </w:r>
            <w:r>
              <w:rPr>
                <w:sz w:val="20"/>
              </w:rPr>
              <w:t xml:space="preserve">  Reporte Word (.docx)</w:t>
            </w:r>
          </w:p>
        </w:tc>
        <w:tc>
          <w:tcPr>
            <w:tcW w:w="5184" w:type="dxa"/>
            <w:shd w:val="clear" w:color="auto" w:fill="FFF8EE"/>
          </w:tcPr>
          <w:p w14:paraId="225707F8" w14:textId="77777777" w:rsidR="00A46C67" w:rsidRDefault="001E0702">
            <w:r>
              <w:rPr>
                <w:sz w:val="20"/>
              </w:rPr>
              <w:t>Informe formal con todos los gráficos, métricas y proyecciones, listo para distribuir al equipo directivo.</w:t>
            </w:r>
          </w:p>
        </w:tc>
      </w:tr>
      <w:tr w:rsidR="00A46C67" w14:paraId="6BE8A81C" w14:textId="77777777">
        <w:tc>
          <w:tcPr>
            <w:tcW w:w="3456" w:type="dxa"/>
            <w:shd w:val="clear" w:color="auto" w:fill="FFFFFF"/>
          </w:tcPr>
          <w:p w14:paraId="5716C676" w14:textId="77777777" w:rsidR="00A46C67" w:rsidRDefault="001E0702">
            <w:r>
              <w:rPr>
                <w:sz w:val="20"/>
              </w:rPr>
              <w:t>🏆</w:t>
            </w:r>
            <w:r>
              <w:rPr>
                <w:sz w:val="20"/>
              </w:rPr>
              <w:t xml:space="preserve">  Leaderboard de modelos</w:t>
            </w:r>
          </w:p>
        </w:tc>
        <w:tc>
          <w:tcPr>
            <w:tcW w:w="5184" w:type="dxa"/>
            <w:shd w:val="clear" w:color="auto" w:fill="FFFFFF"/>
          </w:tcPr>
          <w:p w14:paraId="1FC88D7D" w14:textId="77777777" w:rsidR="00A46C67" w:rsidRDefault="001E0702">
            <w:r>
              <w:rPr>
                <w:sz w:val="20"/>
              </w:rPr>
              <w:t>Tabla de ranking de los cuatro modelos con sus métricas de error, más el gráfico de residuos (diferencia entre real y predicho) durante la fase de entrenamiento.</w:t>
            </w:r>
          </w:p>
        </w:tc>
      </w:tr>
    </w:tbl>
    <w:p w14:paraId="578620BF" w14:textId="77777777" w:rsidR="00A46C67" w:rsidRDefault="00A46C67"/>
    <w:p w14:paraId="4FA332DA" w14:textId="77777777" w:rsidR="00A46C67" w:rsidRDefault="001E0702">
      <w:pPr>
        <w:pStyle w:val="Ttulo1"/>
      </w:pPr>
      <w:r>
        <w:rPr>
          <w:color w:val="1E3A5F"/>
          <w:sz w:val="32"/>
        </w:rPr>
        <w:lastRenderedPageBreak/>
        <w:t>6. Control de acceso y seguridad</w:t>
      </w:r>
    </w:p>
    <w:p w14:paraId="42E2AB83" w14:textId="77777777" w:rsidR="00A46C67" w:rsidRDefault="001E0702">
      <w:pPr>
        <w:spacing w:after="160"/>
      </w:pPr>
      <w:r>
        <w:t>La aplicación cuenta con un sistema de autenticación que garantiza que solo personal autorizado de Maresa pueda ingresar y utilizar la herramienta:</w:t>
      </w:r>
    </w:p>
    <w:p w14:paraId="0CDAA406" w14:textId="77777777" w:rsidR="00A46C67" w:rsidRDefault="001E0702">
      <w:pPr>
        <w:pStyle w:val="Listaconvietas"/>
        <w:spacing w:after="60"/>
      </w:pPr>
      <w:r>
        <w:t>Solo se permiten cuentas con correo corporativo @corpmaresa.com.ec.</w:t>
      </w:r>
    </w:p>
    <w:p w14:paraId="3AD32F14" w14:textId="77777777" w:rsidR="00A46C67" w:rsidRDefault="001E0702">
      <w:pPr>
        <w:pStyle w:val="Listaconvietas"/>
        <w:spacing w:after="60"/>
      </w:pPr>
      <w:r>
        <w:t>Las contraseñas nunca se almacenan en texto plano: se guardan como un hash cifrado (bcrypt), el estándar de la industria para proteger credenciales.</w:t>
      </w:r>
    </w:p>
    <w:p w14:paraId="52C1F53F" w14:textId="77777777" w:rsidR="00A46C67" w:rsidRDefault="001E0702">
      <w:pPr>
        <w:pStyle w:val="Listaconvietas"/>
        <w:spacing w:after="60"/>
      </w:pPr>
      <w:r>
        <w:t>Cada usuario nuevo que se registra queda en estado 'pendiente' hasta que un administrador lo aprueba manualmente.</w:t>
      </w:r>
    </w:p>
    <w:p w14:paraId="75EA49B3" w14:textId="77777777" w:rsidR="00A46C67" w:rsidRDefault="001E0702">
      <w:pPr>
        <w:pStyle w:val="Listaconvietas"/>
        <w:spacing w:after="60"/>
      </w:pPr>
      <w:r>
        <w:t>Los administradores tienen acceso a un panel exclusivo donde pueden aprobar o revocar accesos.</w:t>
      </w:r>
    </w:p>
    <w:p w14:paraId="381A53BC" w14:textId="77777777" w:rsidR="00A46C67" w:rsidRDefault="00A46C67"/>
    <w:p w14:paraId="650B28F0" w14:textId="77777777" w:rsidR="00A46C67" w:rsidRDefault="001E0702">
      <w:r>
        <w:br w:type="page"/>
      </w:r>
    </w:p>
    <w:p w14:paraId="782E70A0" w14:textId="77777777" w:rsidR="00A46C67" w:rsidRDefault="001E0702">
      <w:pPr>
        <w:pStyle w:val="Ttulo1"/>
      </w:pPr>
      <w:r>
        <w:rPr>
          <w:color w:val="1E3A5F"/>
          <w:sz w:val="32"/>
        </w:rPr>
        <w:lastRenderedPageBreak/>
        <w:t>7. Resumen del flujo completo</w:t>
      </w:r>
    </w:p>
    <w:p w14:paraId="28A3AA7B" w14:textId="77777777" w:rsidR="00A46C67" w:rsidRDefault="001E0702">
      <w:r>
        <w:t>El siguiente esquema resume de forma concisa el camino que recorren los datos desde su origen hasta convertirse en un pronóstico listo para la toma de decisiones:</w:t>
      </w:r>
    </w:p>
    <w:tbl>
      <w:tblPr>
        <w:tblStyle w:val="Tablaconcuadrcula"/>
        <w:tblW w:w="0" w:type="auto"/>
        <w:tblLook w:val="04A0" w:firstRow="1" w:lastRow="0" w:firstColumn="1" w:lastColumn="0" w:noHBand="0" w:noVBand="1"/>
      </w:tblPr>
      <w:tblGrid>
        <w:gridCol w:w="576"/>
        <w:gridCol w:w="2592"/>
        <w:gridCol w:w="5760"/>
      </w:tblGrid>
      <w:tr w:rsidR="00A46C67" w14:paraId="0C882838" w14:textId="77777777">
        <w:tc>
          <w:tcPr>
            <w:tcW w:w="576" w:type="dxa"/>
            <w:shd w:val="clear" w:color="auto" w:fill="1E3A5F"/>
          </w:tcPr>
          <w:p w14:paraId="29CFEA01" w14:textId="77777777" w:rsidR="00A46C67" w:rsidRDefault="001E0702">
            <w:pPr>
              <w:jc w:val="center"/>
            </w:pPr>
            <w:r>
              <w:rPr>
                <w:b/>
                <w:color w:val="FFFFFF"/>
                <w:sz w:val="32"/>
              </w:rPr>
              <w:t>1</w:t>
            </w:r>
          </w:p>
        </w:tc>
        <w:tc>
          <w:tcPr>
            <w:tcW w:w="2592" w:type="dxa"/>
            <w:shd w:val="clear" w:color="auto" w:fill="1E3A5F"/>
          </w:tcPr>
          <w:p w14:paraId="2851007B" w14:textId="77777777" w:rsidR="00A46C67" w:rsidRDefault="001E0702">
            <w:r>
              <w:rPr>
                <w:b/>
                <w:color w:val="FFFFFF"/>
                <w:sz w:val="20"/>
              </w:rPr>
              <w:t>DATOS HISTÓRICOS</w:t>
            </w:r>
          </w:p>
        </w:tc>
        <w:tc>
          <w:tcPr>
            <w:tcW w:w="5760" w:type="dxa"/>
            <w:shd w:val="clear" w:color="auto" w:fill="F8F8F8"/>
          </w:tcPr>
          <w:p w14:paraId="468C3989" w14:textId="77777777" w:rsidR="00A46C67" w:rsidRDefault="001E0702">
            <w:r>
              <w:rPr>
                <w:sz w:val="20"/>
              </w:rPr>
              <w:t>Se cargan una vez: industria.xlsx (ventas históricas) y variables.xlsx (indicadores económicos). Cada mes se actualiza solo el último mes con Subir_mes.py.</w:t>
            </w:r>
          </w:p>
        </w:tc>
      </w:tr>
      <w:tr w:rsidR="00A46C67" w14:paraId="73AD3BC5" w14:textId="77777777">
        <w:tc>
          <w:tcPr>
            <w:tcW w:w="576" w:type="dxa"/>
            <w:shd w:val="clear" w:color="auto" w:fill="1B4332"/>
          </w:tcPr>
          <w:p w14:paraId="5E7BB1F3" w14:textId="77777777" w:rsidR="00A46C67" w:rsidRDefault="001E0702">
            <w:pPr>
              <w:jc w:val="center"/>
            </w:pPr>
            <w:r>
              <w:rPr>
                <w:b/>
                <w:color w:val="FFFFFF"/>
                <w:sz w:val="32"/>
              </w:rPr>
              <w:t>2</w:t>
            </w:r>
          </w:p>
        </w:tc>
        <w:tc>
          <w:tcPr>
            <w:tcW w:w="2592" w:type="dxa"/>
            <w:shd w:val="clear" w:color="auto" w:fill="1B4332"/>
          </w:tcPr>
          <w:p w14:paraId="4A66ADAA" w14:textId="77777777" w:rsidR="00A46C67" w:rsidRDefault="001E0702">
            <w:r>
              <w:rPr>
                <w:b/>
                <w:color w:val="FFFFFF"/>
                <w:sz w:val="20"/>
              </w:rPr>
              <w:t>BASE DE DATOS EN LA NUBE</w:t>
            </w:r>
          </w:p>
        </w:tc>
        <w:tc>
          <w:tcPr>
            <w:tcW w:w="5760" w:type="dxa"/>
            <w:shd w:val="clear" w:color="auto" w:fill="FFFFFF"/>
          </w:tcPr>
          <w:p w14:paraId="60212C4C" w14:textId="77777777" w:rsidR="00A46C67" w:rsidRDefault="001E0702">
            <w:r>
              <w:rPr>
                <w:sz w:val="20"/>
              </w:rPr>
              <w:t>Toda la información queda almacenada en PostgreSQL (Neon). Sin archivos compartidos, sin versiones desactualizadas: todos los usuarios ven los mismos datos en tiempo real.</w:t>
            </w:r>
          </w:p>
        </w:tc>
      </w:tr>
      <w:tr w:rsidR="00A46C67" w14:paraId="2E7DF8EB" w14:textId="77777777">
        <w:tc>
          <w:tcPr>
            <w:tcW w:w="576" w:type="dxa"/>
            <w:shd w:val="clear" w:color="auto" w:fill="2E6DA3"/>
          </w:tcPr>
          <w:p w14:paraId="57DADE70" w14:textId="77777777" w:rsidR="00A46C67" w:rsidRDefault="001E0702">
            <w:pPr>
              <w:jc w:val="center"/>
            </w:pPr>
            <w:r>
              <w:rPr>
                <w:b/>
                <w:color w:val="FFFFFF"/>
                <w:sz w:val="32"/>
              </w:rPr>
              <w:t>3</w:t>
            </w:r>
          </w:p>
        </w:tc>
        <w:tc>
          <w:tcPr>
            <w:tcW w:w="2592" w:type="dxa"/>
            <w:shd w:val="clear" w:color="auto" w:fill="2E6DA3"/>
          </w:tcPr>
          <w:p w14:paraId="029461DB" w14:textId="77777777" w:rsidR="00A46C67" w:rsidRDefault="001E0702">
            <w:r>
              <w:rPr>
                <w:b/>
                <w:color w:val="FFFFFF"/>
                <w:sz w:val="20"/>
              </w:rPr>
              <w:t>EXPLORACIÓN Y CONTEXTO</w:t>
            </w:r>
          </w:p>
        </w:tc>
        <w:tc>
          <w:tcPr>
            <w:tcW w:w="5760" w:type="dxa"/>
            <w:shd w:val="clear" w:color="auto" w:fill="F8F8F8"/>
          </w:tcPr>
          <w:p w14:paraId="117AC901" w14:textId="77777777" w:rsidR="00A46C67" w:rsidRDefault="001E0702">
            <w:r>
              <w:rPr>
                <w:sz w:val="20"/>
              </w:rPr>
              <w:t>El analista revisa los datos históricos, identifica tendencias, estacionalidad y anomalías antes de tomar decisiones sobre el modelo.</w:t>
            </w:r>
          </w:p>
        </w:tc>
      </w:tr>
      <w:tr w:rsidR="00A46C67" w14:paraId="1F48AFE3" w14:textId="77777777">
        <w:tc>
          <w:tcPr>
            <w:tcW w:w="576" w:type="dxa"/>
            <w:shd w:val="clear" w:color="auto" w:fill="654E00"/>
          </w:tcPr>
          <w:p w14:paraId="31C319C7" w14:textId="77777777" w:rsidR="00A46C67" w:rsidRDefault="001E0702">
            <w:pPr>
              <w:jc w:val="center"/>
            </w:pPr>
            <w:r>
              <w:rPr>
                <w:b/>
                <w:color w:val="FFFFFF"/>
                <w:sz w:val="32"/>
              </w:rPr>
              <w:t>4</w:t>
            </w:r>
          </w:p>
        </w:tc>
        <w:tc>
          <w:tcPr>
            <w:tcW w:w="2592" w:type="dxa"/>
            <w:shd w:val="clear" w:color="auto" w:fill="654E00"/>
          </w:tcPr>
          <w:p w14:paraId="24C0A8EF" w14:textId="77777777" w:rsidR="00A46C67" w:rsidRDefault="001E0702">
            <w:r>
              <w:rPr>
                <w:b/>
                <w:color w:val="FFFFFF"/>
                <w:sz w:val="20"/>
              </w:rPr>
              <w:t>ESCENARIOS DE VARIABLES ECONÓMICAS</w:t>
            </w:r>
          </w:p>
        </w:tc>
        <w:tc>
          <w:tcPr>
            <w:tcW w:w="5760" w:type="dxa"/>
            <w:shd w:val="clear" w:color="auto" w:fill="FFFFFF"/>
          </w:tcPr>
          <w:p w14:paraId="0E1D90CD" w14:textId="77777777" w:rsidR="00A46C67" w:rsidRDefault="001E0702">
            <w:r>
              <w:rPr>
                <w:sz w:val="20"/>
              </w:rPr>
              <w:t>Se proyectan los indicadores macroeconómicos a futuro (automáticamente o con ajuste manual) y se generan tres escenarios: normal, optimista y pesimista.</w:t>
            </w:r>
          </w:p>
        </w:tc>
      </w:tr>
      <w:tr w:rsidR="00A46C67" w14:paraId="030D12AE" w14:textId="77777777">
        <w:tc>
          <w:tcPr>
            <w:tcW w:w="576" w:type="dxa"/>
            <w:shd w:val="clear" w:color="auto" w:fill="4A235A"/>
          </w:tcPr>
          <w:p w14:paraId="42905FC5" w14:textId="77777777" w:rsidR="00A46C67" w:rsidRDefault="001E0702">
            <w:pPr>
              <w:jc w:val="center"/>
            </w:pPr>
            <w:r>
              <w:rPr>
                <w:b/>
                <w:color w:val="FFFFFF"/>
                <w:sz w:val="32"/>
              </w:rPr>
              <w:t>5</w:t>
            </w:r>
          </w:p>
        </w:tc>
        <w:tc>
          <w:tcPr>
            <w:tcW w:w="2592" w:type="dxa"/>
            <w:shd w:val="clear" w:color="auto" w:fill="4A235A"/>
          </w:tcPr>
          <w:p w14:paraId="37B6ED45" w14:textId="77777777" w:rsidR="00A46C67" w:rsidRDefault="001E0702">
            <w:r>
              <w:rPr>
                <w:b/>
                <w:color w:val="FFFFFF"/>
                <w:sz w:val="20"/>
              </w:rPr>
              <w:t>COMPETENCIA DE MODELOS DE IA</w:t>
            </w:r>
          </w:p>
        </w:tc>
        <w:tc>
          <w:tcPr>
            <w:tcW w:w="5760" w:type="dxa"/>
            <w:shd w:val="clear" w:color="auto" w:fill="F8F8F8"/>
          </w:tcPr>
          <w:p w14:paraId="7FB94EB3" w14:textId="77777777" w:rsidR="00A46C67" w:rsidRDefault="001E0702">
            <w:r>
              <w:rPr>
                <w:sz w:val="20"/>
              </w:rPr>
              <w:t>Cuatro algoritmos compiten en una evaluación rigurosa. El que mejor predice los datos históricos 'conocidos' es seleccionado como ganador.</w:t>
            </w:r>
          </w:p>
        </w:tc>
      </w:tr>
      <w:tr w:rsidR="00A46C67" w14:paraId="7577937F" w14:textId="77777777">
        <w:tc>
          <w:tcPr>
            <w:tcW w:w="576" w:type="dxa"/>
            <w:shd w:val="clear" w:color="auto" w:fill="6D3C00"/>
          </w:tcPr>
          <w:p w14:paraId="2792552F" w14:textId="77777777" w:rsidR="00A46C67" w:rsidRDefault="001E0702">
            <w:pPr>
              <w:jc w:val="center"/>
            </w:pPr>
            <w:r>
              <w:rPr>
                <w:b/>
                <w:color w:val="FFFFFF"/>
                <w:sz w:val="32"/>
              </w:rPr>
              <w:t>6</w:t>
            </w:r>
          </w:p>
        </w:tc>
        <w:tc>
          <w:tcPr>
            <w:tcW w:w="2592" w:type="dxa"/>
            <w:shd w:val="clear" w:color="auto" w:fill="6D3C00"/>
          </w:tcPr>
          <w:p w14:paraId="33DAB9DA" w14:textId="77777777" w:rsidR="00A46C67" w:rsidRDefault="001E0702">
            <w:r>
              <w:rPr>
                <w:b/>
                <w:color w:val="FFFFFF"/>
                <w:sz w:val="20"/>
              </w:rPr>
              <w:t>PRONÓSTICO FINAL</w:t>
            </w:r>
          </w:p>
        </w:tc>
        <w:tc>
          <w:tcPr>
            <w:tcW w:w="5760" w:type="dxa"/>
            <w:shd w:val="clear" w:color="auto" w:fill="FFFFFF"/>
          </w:tcPr>
          <w:p w14:paraId="6918BF80" w14:textId="77777777" w:rsidR="00A46C67" w:rsidRDefault="001E0702">
            <w:r>
              <w:rPr>
                <w:sz w:val="20"/>
              </w:rPr>
              <w:t>El modelo ganador proyecta las ventas futuras, mes a mes, para el horizonte definido (entre 6 y 36 meses), con intervalos de confianza incluidos.</w:t>
            </w:r>
          </w:p>
        </w:tc>
      </w:tr>
      <w:tr w:rsidR="00A46C67" w14:paraId="0EB2B34B" w14:textId="77777777">
        <w:tc>
          <w:tcPr>
            <w:tcW w:w="576" w:type="dxa"/>
            <w:shd w:val="clear" w:color="auto" w:fill="1E3A5F"/>
          </w:tcPr>
          <w:p w14:paraId="076274F6" w14:textId="77777777" w:rsidR="00A46C67" w:rsidRDefault="001E0702">
            <w:pPr>
              <w:jc w:val="center"/>
            </w:pPr>
            <w:r>
              <w:rPr>
                <w:b/>
                <w:color w:val="FFFFFF"/>
                <w:sz w:val="32"/>
              </w:rPr>
              <w:t>7</w:t>
            </w:r>
          </w:p>
        </w:tc>
        <w:tc>
          <w:tcPr>
            <w:tcW w:w="2592" w:type="dxa"/>
            <w:shd w:val="clear" w:color="auto" w:fill="1E3A5F"/>
          </w:tcPr>
          <w:p w14:paraId="672DC4BA" w14:textId="77777777" w:rsidR="00A46C67" w:rsidRDefault="001E0702">
            <w:r>
              <w:rPr>
                <w:b/>
                <w:color w:val="FFFFFF"/>
                <w:sz w:val="20"/>
              </w:rPr>
              <w:t>DESAGREGACIÓN</w:t>
            </w:r>
          </w:p>
        </w:tc>
        <w:tc>
          <w:tcPr>
            <w:tcW w:w="5760" w:type="dxa"/>
            <w:shd w:val="clear" w:color="auto" w:fill="F8F8F8"/>
          </w:tcPr>
          <w:p w14:paraId="61E0F8B9" w14:textId="77777777" w:rsidR="00A46C67" w:rsidRDefault="001E0702">
            <w:r>
              <w:rPr>
                <w:sz w:val="20"/>
              </w:rPr>
              <w:t>El total proyectado se distribuye hacia abajo: por segmento, marca, modelo y provincia, manteniendo coherencia matemática con el total.</w:t>
            </w:r>
          </w:p>
        </w:tc>
      </w:tr>
      <w:tr w:rsidR="00A46C67" w14:paraId="63A331F4" w14:textId="77777777">
        <w:tc>
          <w:tcPr>
            <w:tcW w:w="576" w:type="dxa"/>
            <w:shd w:val="clear" w:color="auto" w:fill="1B4332"/>
          </w:tcPr>
          <w:p w14:paraId="7894EECD" w14:textId="77777777" w:rsidR="00A46C67" w:rsidRDefault="001E0702">
            <w:pPr>
              <w:jc w:val="center"/>
            </w:pPr>
            <w:r>
              <w:rPr>
                <w:b/>
                <w:color w:val="FFFFFF"/>
                <w:sz w:val="32"/>
              </w:rPr>
              <w:t>8</w:t>
            </w:r>
          </w:p>
        </w:tc>
        <w:tc>
          <w:tcPr>
            <w:tcW w:w="2592" w:type="dxa"/>
            <w:shd w:val="clear" w:color="auto" w:fill="1B4332"/>
          </w:tcPr>
          <w:p w14:paraId="049A3546" w14:textId="77777777" w:rsidR="00A46C67" w:rsidRDefault="001E0702">
            <w:r>
              <w:rPr>
                <w:b/>
                <w:color w:val="FFFFFF"/>
                <w:sz w:val="20"/>
              </w:rPr>
              <w:t>RESULTADOS Y EXPORTACIÓN</w:t>
            </w:r>
          </w:p>
        </w:tc>
        <w:tc>
          <w:tcPr>
            <w:tcW w:w="5760" w:type="dxa"/>
            <w:shd w:val="clear" w:color="auto" w:fill="FFFFFF"/>
          </w:tcPr>
          <w:p w14:paraId="2AFA6937" w14:textId="77777777" w:rsidR="00A46C67" w:rsidRDefault="001E0702">
            <w:r>
              <w:rPr>
                <w:sz w:val="20"/>
              </w:rPr>
              <w:t>Los resultados se presentan en gráficos interactivos, tablas descargables y un reporte Word formal, todo disponible desde el dashboard.</w:t>
            </w:r>
          </w:p>
        </w:tc>
      </w:tr>
    </w:tbl>
    <w:p w14:paraId="06C048B8" w14:textId="77777777" w:rsidR="00A46C67" w:rsidRDefault="00A46C67"/>
    <w:p w14:paraId="19B25D9D" w14:textId="77777777" w:rsidR="00A46C67" w:rsidRDefault="001E0702">
      <w:r>
        <w:br w:type="page"/>
      </w:r>
    </w:p>
    <w:p w14:paraId="6ABE0E4C" w14:textId="77777777" w:rsidR="00A46C67" w:rsidRDefault="001E0702">
      <w:pPr>
        <w:pStyle w:val="Ttulo1"/>
      </w:pPr>
      <w:r>
        <w:rPr>
          <w:color w:val="1E3A5F"/>
          <w:sz w:val="32"/>
        </w:rPr>
        <w:lastRenderedPageBreak/>
        <w:t>8. Glosario de términos técnicos</w:t>
      </w:r>
    </w:p>
    <w:p w14:paraId="183777A4" w14:textId="77777777" w:rsidR="00A46C67" w:rsidRDefault="001E0702">
      <w:pPr>
        <w:spacing w:after="160"/>
      </w:pPr>
      <w:r>
        <w:t>Para usuarios sin formación técnica, a continuación se explican brevemente los términos más utilizados en este documento:</w:t>
      </w:r>
    </w:p>
    <w:tbl>
      <w:tblPr>
        <w:tblStyle w:val="Tablaconcuadrcula"/>
        <w:tblW w:w="0" w:type="auto"/>
        <w:tblLook w:val="04A0" w:firstRow="1" w:lastRow="0" w:firstColumn="1" w:lastColumn="0" w:noHBand="0" w:noVBand="1"/>
      </w:tblPr>
      <w:tblGrid>
        <w:gridCol w:w="3456"/>
        <w:gridCol w:w="5184"/>
      </w:tblGrid>
      <w:tr w:rsidR="00A46C67" w14:paraId="6D3806C8" w14:textId="77777777">
        <w:tc>
          <w:tcPr>
            <w:tcW w:w="3456" w:type="dxa"/>
            <w:shd w:val="clear" w:color="auto" w:fill="1E3A5F"/>
          </w:tcPr>
          <w:p w14:paraId="22F595FD" w14:textId="77777777" w:rsidR="00A46C67" w:rsidRDefault="001E0702">
            <w:r>
              <w:rPr>
                <w:b/>
                <w:color w:val="FFFFFF"/>
                <w:sz w:val="20"/>
              </w:rPr>
              <w:t>Término</w:t>
            </w:r>
          </w:p>
        </w:tc>
        <w:tc>
          <w:tcPr>
            <w:tcW w:w="5184" w:type="dxa"/>
            <w:shd w:val="clear" w:color="auto" w:fill="1E3A5F"/>
          </w:tcPr>
          <w:p w14:paraId="4287C25B" w14:textId="77777777" w:rsidR="00A46C67" w:rsidRDefault="001E0702">
            <w:r>
              <w:rPr>
                <w:b/>
                <w:color w:val="FFFFFF"/>
                <w:sz w:val="20"/>
              </w:rPr>
              <w:t>Definición</w:t>
            </w:r>
          </w:p>
        </w:tc>
      </w:tr>
      <w:tr w:rsidR="00A46C67" w14:paraId="33F2E8D2" w14:textId="77777777">
        <w:tc>
          <w:tcPr>
            <w:tcW w:w="3456" w:type="dxa"/>
            <w:shd w:val="clear" w:color="auto" w:fill="EBF4FF"/>
          </w:tcPr>
          <w:p w14:paraId="19690BD0" w14:textId="77777777" w:rsidR="00A46C67" w:rsidRDefault="001E0702">
            <w:r>
              <w:rPr>
                <w:sz w:val="20"/>
              </w:rPr>
              <w:t>MAPE</w:t>
            </w:r>
          </w:p>
        </w:tc>
        <w:tc>
          <w:tcPr>
            <w:tcW w:w="5184" w:type="dxa"/>
            <w:shd w:val="clear" w:color="auto" w:fill="EBF4FF"/>
          </w:tcPr>
          <w:p w14:paraId="6DF6E66D" w14:textId="77777777" w:rsidR="00A46C67" w:rsidRDefault="001E0702">
            <w:r>
              <w:rPr>
                <w:sz w:val="20"/>
              </w:rPr>
              <w:t>Mean Absolute Percentage Error — Error Porcentual Absoluto Medio. Mide qué tan lejos estuvo el modelo de la realidad, en porcentaje. Un MAPE del 5% significa que el modelo se equivocó en promedio un 5%. Cuanto menor, mejor.</w:t>
            </w:r>
          </w:p>
        </w:tc>
      </w:tr>
      <w:tr w:rsidR="00A46C67" w14:paraId="3360A7F9" w14:textId="77777777">
        <w:tc>
          <w:tcPr>
            <w:tcW w:w="3456" w:type="dxa"/>
            <w:shd w:val="clear" w:color="auto" w:fill="FFFFFF"/>
          </w:tcPr>
          <w:p w14:paraId="08DA98A2" w14:textId="77777777" w:rsidR="00A46C67" w:rsidRDefault="001E0702">
            <w:r>
              <w:rPr>
                <w:sz w:val="20"/>
              </w:rPr>
              <w:t>Walk-Forward CV</w:t>
            </w:r>
          </w:p>
        </w:tc>
        <w:tc>
          <w:tcPr>
            <w:tcW w:w="5184" w:type="dxa"/>
            <w:shd w:val="clear" w:color="auto" w:fill="FFFFFF"/>
          </w:tcPr>
          <w:p w14:paraId="451E383F" w14:textId="77777777" w:rsidR="00A46C67" w:rsidRDefault="001E0702">
            <w:r>
              <w:rPr>
                <w:sz w:val="20"/>
              </w:rPr>
              <w:t>Técnica de validación que simula el uso real del modelo: se entrena con datos pasados y se evalúa en datos futuros (pero conocidos), repetido varias veces.</w:t>
            </w:r>
          </w:p>
        </w:tc>
      </w:tr>
      <w:tr w:rsidR="00A46C67" w14:paraId="145DA76E" w14:textId="77777777">
        <w:tc>
          <w:tcPr>
            <w:tcW w:w="3456" w:type="dxa"/>
            <w:shd w:val="clear" w:color="auto" w:fill="EBF4FF"/>
          </w:tcPr>
          <w:p w14:paraId="1E18C231" w14:textId="77777777" w:rsidR="00A46C67" w:rsidRDefault="001E0702">
            <w:r>
              <w:rPr>
                <w:sz w:val="20"/>
              </w:rPr>
              <w:t>Driver / Variable económica</w:t>
            </w:r>
          </w:p>
        </w:tc>
        <w:tc>
          <w:tcPr>
            <w:tcW w:w="5184" w:type="dxa"/>
            <w:shd w:val="clear" w:color="auto" w:fill="EBF4FF"/>
          </w:tcPr>
          <w:p w14:paraId="36DE9743" w14:textId="77777777" w:rsidR="00A46C67" w:rsidRDefault="001E0702">
            <w:r>
              <w:rPr>
                <w:sz w:val="20"/>
              </w:rPr>
              <w:t>Indicador externo que influye en las ventas, como el precio del petróleo, la tasa de interés o el empleo.</w:t>
            </w:r>
          </w:p>
        </w:tc>
      </w:tr>
      <w:tr w:rsidR="00A46C67" w14:paraId="1EC89739" w14:textId="77777777">
        <w:tc>
          <w:tcPr>
            <w:tcW w:w="3456" w:type="dxa"/>
            <w:shd w:val="clear" w:color="auto" w:fill="FFFFFF"/>
          </w:tcPr>
          <w:p w14:paraId="67ECE261" w14:textId="77777777" w:rsidR="00A46C67" w:rsidRDefault="001E0702">
            <w:r>
              <w:rPr>
                <w:sz w:val="20"/>
              </w:rPr>
              <w:t>Top-Down</w:t>
            </w:r>
          </w:p>
        </w:tc>
        <w:tc>
          <w:tcPr>
            <w:tcW w:w="5184" w:type="dxa"/>
            <w:shd w:val="clear" w:color="auto" w:fill="FFFFFF"/>
          </w:tcPr>
          <w:p w14:paraId="05B57EA8" w14:textId="77777777" w:rsidR="00A46C67" w:rsidRDefault="001E0702">
            <w:r>
              <w:rPr>
                <w:sz w:val="20"/>
              </w:rPr>
              <w:t>Método de desagregación que parte del total y lo distribuye hacia los detalles (segmento → modelo → provincia), al contrario del Bottom-Up.</w:t>
            </w:r>
          </w:p>
        </w:tc>
      </w:tr>
      <w:tr w:rsidR="00A46C67" w14:paraId="668422C6" w14:textId="77777777">
        <w:tc>
          <w:tcPr>
            <w:tcW w:w="3456" w:type="dxa"/>
            <w:shd w:val="clear" w:color="auto" w:fill="EBF4FF"/>
          </w:tcPr>
          <w:p w14:paraId="105E3549" w14:textId="77777777" w:rsidR="00A46C67" w:rsidRDefault="001E0702">
            <w:r>
              <w:rPr>
                <w:sz w:val="20"/>
              </w:rPr>
              <w:t>SARIMAX</w:t>
            </w:r>
          </w:p>
        </w:tc>
        <w:tc>
          <w:tcPr>
            <w:tcW w:w="5184" w:type="dxa"/>
            <w:shd w:val="clear" w:color="auto" w:fill="EBF4FF"/>
          </w:tcPr>
          <w:p w14:paraId="092EE141" w14:textId="77777777" w:rsidR="00A46C67" w:rsidRDefault="001E0702">
            <w:r>
              <w:rPr>
                <w:sz w:val="20"/>
              </w:rPr>
              <w:t>Modelo estadístico de series de tiempo que incluye componente estacional y variables externas (como los drivers económicos).</w:t>
            </w:r>
          </w:p>
        </w:tc>
      </w:tr>
      <w:tr w:rsidR="00A46C67" w14:paraId="39B5CB95" w14:textId="77777777">
        <w:tc>
          <w:tcPr>
            <w:tcW w:w="3456" w:type="dxa"/>
            <w:shd w:val="clear" w:color="auto" w:fill="FFFFFF"/>
          </w:tcPr>
          <w:p w14:paraId="7636ED8D" w14:textId="77777777" w:rsidR="00A46C67" w:rsidRDefault="001E0702">
            <w:r>
              <w:rPr>
                <w:sz w:val="20"/>
              </w:rPr>
              <w:t>XGBoost</w:t>
            </w:r>
          </w:p>
        </w:tc>
        <w:tc>
          <w:tcPr>
            <w:tcW w:w="5184" w:type="dxa"/>
            <w:shd w:val="clear" w:color="auto" w:fill="FFFFFF"/>
          </w:tcPr>
          <w:p w14:paraId="34444271" w14:textId="77777777" w:rsidR="00A46C67" w:rsidRDefault="001E0702">
            <w:r>
              <w:rPr>
                <w:sz w:val="20"/>
              </w:rPr>
              <w:t>Algoritmo de machine learning basado en árboles de decisión, especialmente eficaz para datos tabulares. Ganó numerosas competencias de datos a nivel mundial.</w:t>
            </w:r>
          </w:p>
        </w:tc>
      </w:tr>
      <w:tr w:rsidR="00A46C67" w14:paraId="477C8193" w14:textId="77777777">
        <w:tc>
          <w:tcPr>
            <w:tcW w:w="3456" w:type="dxa"/>
            <w:shd w:val="clear" w:color="auto" w:fill="EBF4FF"/>
          </w:tcPr>
          <w:p w14:paraId="0E4FE780" w14:textId="77777777" w:rsidR="00A46C67" w:rsidRDefault="001E0702">
            <w:r>
              <w:rPr>
                <w:sz w:val="20"/>
              </w:rPr>
              <w:t>Intervalo de confianza</w:t>
            </w:r>
          </w:p>
        </w:tc>
        <w:tc>
          <w:tcPr>
            <w:tcW w:w="5184" w:type="dxa"/>
            <w:shd w:val="clear" w:color="auto" w:fill="EBF4FF"/>
          </w:tcPr>
          <w:p w14:paraId="2A70E135" w14:textId="77777777" w:rsidR="00A46C67" w:rsidRDefault="001E0702">
            <w:r>
              <w:rPr>
                <w:sz w:val="20"/>
              </w:rPr>
              <w:t>Rango dentro del cual se espera que caiga el valor real con un nivel de probabilidad establecido (en este caso, 95%).</w:t>
            </w:r>
          </w:p>
        </w:tc>
      </w:tr>
      <w:tr w:rsidR="00A46C67" w14:paraId="32C7626E" w14:textId="77777777">
        <w:tc>
          <w:tcPr>
            <w:tcW w:w="3456" w:type="dxa"/>
            <w:shd w:val="clear" w:color="auto" w:fill="FFFFFF"/>
          </w:tcPr>
          <w:p w14:paraId="0E83BDA5" w14:textId="77777777" w:rsidR="00A46C67" w:rsidRDefault="001E0702">
            <w:r>
              <w:rPr>
                <w:sz w:val="20"/>
              </w:rPr>
              <w:t>PostgreSQL / Neon</w:t>
            </w:r>
          </w:p>
        </w:tc>
        <w:tc>
          <w:tcPr>
            <w:tcW w:w="5184" w:type="dxa"/>
            <w:shd w:val="clear" w:color="auto" w:fill="FFFFFF"/>
          </w:tcPr>
          <w:p w14:paraId="6F0F233A" w14:textId="77777777" w:rsidR="00A46C67" w:rsidRDefault="001E0702">
            <w:r>
              <w:rPr>
                <w:sz w:val="20"/>
              </w:rPr>
              <w:t>Sistema de base de datos relacional alojado en la nube. Neon es el proveedor que permite acceso remoto a la base de datos de forma segura y escalable.</w:t>
            </w:r>
          </w:p>
        </w:tc>
      </w:tr>
      <w:tr w:rsidR="00A46C67" w14:paraId="4440EF0B" w14:textId="77777777">
        <w:tc>
          <w:tcPr>
            <w:tcW w:w="3456" w:type="dxa"/>
            <w:shd w:val="clear" w:color="auto" w:fill="EBF4FF"/>
          </w:tcPr>
          <w:p w14:paraId="2617E144" w14:textId="77777777" w:rsidR="00A46C67" w:rsidRDefault="001E0702">
            <w:r>
              <w:rPr>
                <w:sz w:val="20"/>
              </w:rPr>
              <w:t>Streamlit</w:t>
            </w:r>
          </w:p>
        </w:tc>
        <w:tc>
          <w:tcPr>
            <w:tcW w:w="5184" w:type="dxa"/>
            <w:shd w:val="clear" w:color="auto" w:fill="EBF4FF"/>
          </w:tcPr>
          <w:p w14:paraId="7D29B63B" w14:textId="77777777" w:rsidR="00A46C67" w:rsidRDefault="001E0702">
            <w:r>
              <w:rPr>
                <w:sz w:val="20"/>
              </w:rPr>
              <w:t>Tecnología de Python para crear aplicaciones web interactivas de forma rápida, sin necesidad de programar HTML o JavaScript.</w:t>
            </w:r>
          </w:p>
        </w:tc>
      </w:tr>
    </w:tbl>
    <w:p w14:paraId="0A1F4B59" w14:textId="77777777" w:rsidR="00A46C67" w:rsidRDefault="00A46C67"/>
    <w:p w14:paraId="6D9A3A58" w14:textId="77777777" w:rsidR="00A46C67" w:rsidRDefault="00A46C67"/>
    <w:p w14:paraId="50BD37D5" w14:textId="77777777" w:rsidR="00A46C67" w:rsidRDefault="001E0702">
      <w:pPr>
        <w:jc w:val="center"/>
      </w:pPr>
      <w:r>
        <w:rPr>
          <w:i/>
          <w:color w:val="999999"/>
          <w:sz w:val="18"/>
        </w:rPr>
        <w:t>Documento generado automáticamente • Maresa — Área de Inteligencia Comercial • 20/04/2026</w:t>
      </w:r>
    </w:p>
    <w:sectPr w:rsidR="00A46C67"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90737135">
    <w:abstractNumId w:val="8"/>
  </w:num>
  <w:num w:numId="2" w16cid:durableId="88042736">
    <w:abstractNumId w:val="6"/>
  </w:num>
  <w:num w:numId="3" w16cid:durableId="194664156">
    <w:abstractNumId w:val="5"/>
  </w:num>
  <w:num w:numId="4" w16cid:durableId="731387720">
    <w:abstractNumId w:val="4"/>
  </w:num>
  <w:num w:numId="5" w16cid:durableId="611320626">
    <w:abstractNumId w:val="7"/>
  </w:num>
  <w:num w:numId="6" w16cid:durableId="2111389229">
    <w:abstractNumId w:val="3"/>
  </w:num>
  <w:num w:numId="7" w16cid:durableId="821234665">
    <w:abstractNumId w:val="2"/>
  </w:num>
  <w:num w:numId="8" w16cid:durableId="24911446">
    <w:abstractNumId w:val="1"/>
  </w:num>
  <w:num w:numId="9" w16cid:durableId="1000692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D29"/>
    <w:rsid w:val="0015074B"/>
    <w:rsid w:val="0029639D"/>
    <w:rsid w:val="00326F90"/>
    <w:rsid w:val="00A46C67"/>
    <w:rsid w:val="00A747D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6297C53-7396-496F-AF9E-86654FEEA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11</Pages>
  <Words>2501</Words>
  <Characters>13760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Stalin Benjamin Bonilla Frutos</cp:lastModifiedBy>
  <cp:revision>2</cp:revision>
  <dcterms:created xsi:type="dcterms:W3CDTF">2013-12-23T23:15:00Z</dcterms:created>
  <dcterms:modified xsi:type="dcterms:W3CDTF">2026-04-21T19:05:00Z</dcterms:modified>
  <cp:category/>
</cp:coreProperties>
</file>