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710"/>
        <w:gridCol w:w="2220"/>
        <w:gridCol w:w="2100"/>
        <w:tblGridChange w:id="0">
          <w:tblGrid>
            <w:gridCol w:w="1950"/>
            <w:gridCol w:w="1710"/>
            <w:gridCol w:w="2220"/>
            <w:gridCol w:w="21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 anterior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 en Incremento 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Contaba con un único campo fecha_limite_sla para el control de SLA.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 reemplazó por fecha_limite_respuesta y fecha_limite_resolucion.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Permitir diferenciar el tiempo límite de respuesta del tiempo límite de resolución según la configuración SLA.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 contemplaba directamente piso_id.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 agregó piso_id como clave foránea hacia Piso.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Permitir registrar la ubicación del incidente a nivel de piso.</w:t>
            </w:r>
          </w:p>
        </w:tc>
      </w:tr>
      <w:tr>
        <w:trPr>
          <w:cantSplit w:val="0"/>
          <w:trHeight w:val="1184.62646484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Disponía de area_id y equipo_id.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 mantienen area_id y equipo_id y se complementan con piso_id.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Permitir una identificación más precisa de la ubicación y del equipo afectado.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sla_pausado ya formaba parte del diseño.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 mantiene.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Permitir controlar la pausa del temporizador SLA durante tickets que dependen de terceros.</w:t>
            </w:r>
          </w:p>
        </w:tc>
      </w:tr>
      <w:tr>
        <w:trPr>
          <w:cantSplit w:val="0"/>
          <w:trHeight w:val="923.701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Utilizaba el atributo stock.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 renombró a stock_actual.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Representar explícitamente el stock disponible del material.</w:t>
            </w:r>
          </w:p>
        </w:tc>
      </w:tr>
      <w:tr>
        <w:trPr>
          <w:cantSplit w:val="0"/>
          <w:trHeight w:val="2027.40234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 contaba con la estructura completa requerida para el control financiero del inventario.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 mantiene/amplía con stock_actual, stock_minimo, unidad_medida y costo_unitario.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Permitir controlar existencias, mínimo de stock y costos de los materiales.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Material_Usado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Registraba cantidad y fecha de uso, pero no el costo asociado.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 agregó costo_subtotal.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Registrar el costo imputado al ticket por cada material utilizado.</w:t>
            </w:r>
          </w:p>
        </w:tc>
      </w:tr>
      <w:tr>
        <w:trPr>
          <w:cantSplit w:val="0"/>
          <w:trHeight w:val="1370.55175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Material_Usado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Utilizaba fecha_uso.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 reemplazó por fecha_imputacion.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Alinear el atributo con la funcionalidad de imputación de materiales del Incremento 2.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Material_Usado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Identificaba genéricamente al usuario que registraba el material.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 utiliza tecnico_id.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Identificar específicamente al técnico responsable de la imputación.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Contenía información de SLA mediante sla_horas.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 elimina la dependencia de sla_horas y se mantiene color_hex.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Centralizar la configuración temporal del SLA en SLA_Config y mantener el color como atributo de prioridad.</w:t>
            </w:r>
          </w:p>
        </w:tc>
      </w:tr>
      <w:tr>
        <w:trPr>
          <w:cantSplit w:val="0"/>
          <w:trHeight w:val="1400.551757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SLA_Config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 existía como entidad independiente en el modelo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incorpora SLA_Config con horas_respuesta, horas_resolucion, activo y prioridad_id.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Permitir parametrizar los tiempos de respuesta y resolución por prioridad.</w:t>
            </w:r>
          </w:p>
        </w:tc>
      </w:tr>
      <w:tr>
        <w:trPr>
          <w:cantSplit w:val="0"/>
          <w:trHeight w:val="518.70117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SLA_Config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 elimina color_hex de esta tabla.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Evitar duplicidad, ya que el color pertenece a Prioridad.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 estaba incorporado como entidad independiente en el modelo anterior.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 incorpora Piso.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Parametrizar los pisos disponibles para la ubicación de los incidentes.</w:t>
            </w:r>
          </w:p>
        </w:tc>
      </w:tr>
      <w:tr>
        <w:trPr>
          <w:cantSplit w:val="0"/>
          <w:trHeight w:val="1484.62646484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 ubicación era menos específica.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 incorpora/estructura Area con piso_id como FK.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Asociar cada área con el piso correspondiente y validar ubicaciones.</w:t>
            </w:r>
          </w:p>
        </w:tc>
      </w:tr>
      <w:tr>
        <w:trPr>
          <w:cantSplit w:val="0"/>
          <w:trHeight w:val="33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Existía el equipo como entidad, pero no se encontraba estructurado para identificarlo mediante código de inventario.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 incorpora codigo_inventario y area_id.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Permitir identificar físicamente el equipo afectado y asociarlo a su ubicación.</w:t>
            </w:r>
          </w:p>
        </w:tc>
      </w:tr>
      <w:tr>
        <w:trPr>
          <w:cantSplit w:val="0"/>
          <w:trHeight w:val="1244.62646484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Nota_Privada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 estaba contemplada como entidad independiente.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 incorpora Nota_Privada.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Permitir registrar información técnica interna asociada a un ticket.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Log_Integracion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 se contaba con una estructura específica para registrar las interacciones externas.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 incorpora Log_Integracion asociada a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Registrar trazabilidad de las integraciones con sistemas externos como IMER.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Feriado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 existía una entidad específica para días inhábiles.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 incorpora Feriado.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Permitir que el cálculo del SLA considere días no laborables.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QR_Ticket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Existía como tabla asociada a Ticket.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 mantiene en el modelo actual.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Mantener el mecanismo de generación/gestión de tokens QR asociado al ticket.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Relación Usuario–Rol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Existía una relación directa mediante la estructura de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 mantiene Usuario_Rol como tabla intermedia.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Mantener el control RBAC sin duplicar el rol dentro de Usuario.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