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t xml:space="preserve">“Año de la Esperanza y el Fortalecimiento de la Democracia”</w:t>
      </w:r>
    </w:p>
    <w:p>
      <w:pPr>
        <w:spacing w:before="2880"/>
        <w:jc w:val="center"/>
      </w:pPr>
      <w:r>
        <w:rPr>
          <w:b/>
          <w:sz w:val="32"/>
          <w:szCs w:val="32"/>
        </w:rPr>
        <w:t xml:space="preserve">Avance 3: Construcción de la solución</w:t>
      </w:r>
    </w:p>
    <w:p>
      <w:pPr>
        <w:spacing w:before="1440"/>
        <w:jc w:val="center"/>
      </w:pPr>
      <w:r>
        <w:rPr>
          <w:b/>
        </w:rPr>
        <w:t xml:space="preserve">Curso:</w:t>
      </w:r>
      <w:r>
        <w:t xml:space="preserve"> Curso Integrador I: Sistemas de Software</w:t>
      </w:r>
    </w:p>
    <w:p>
      <w:pPr>
        <w:jc w:val="center"/>
      </w:pPr>
      <w:r>
        <w:rPr>
          <w:b/>
        </w:rPr>
        <w:t xml:space="preserve">Docente:</w:t>
      </w:r>
      <w:r>
        <w:t xml:space="preserve"> Ana Meliza Garayar Ttito</w:t>
      </w:r>
    </w:p>
    <w:p>
      <w:pPr>
        <w:jc w:val="center"/>
      </w:pPr>
      <w:r>
        <w:rPr>
          <w:b/>
        </w:rPr>
        <w:t xml:space="preserve">Integrantes:</w:t>
      </w:r>
    </w:p>
    <w:p>
      <w:pPr>
        <w:jc w:val="center"/>
      </w:pPr>
      <w:r>
        <w:t xml:space="preserve">Illescas De la Cruz Benjamin Andres</w:t>
      </w:r>
    </w:p>
    <w:p>
      <w:pPr>
        <w:jc w:val="center"/>
      </w:pPr>
      <w:r>
        <w:t xml:space="preserve">Diego Medina De la Rosa</w:t>
      </w:r>
    </w:p>
    <w:p>
      <w:pPr>
        <w:jc w:val="center"/>
      </w:pPr>
      <w:r>
        <w:t xml:space="preserve">Airton Josue Vilca Navarro</w:t>
      </w:r>
    </w:p>
    <w:p>
      <w:pPr>
        <w:spacing w:before="2880"/>
        <w:jc w:val="center"/>
      </w:pPr>
      <w:r>
        <w:t xml:space="preserve">Ica - Peru</w:t>
      </w:r>
    </w:p>
    <w:p>
      <w:pPr>
        <w:jc w:val="center"/>
      </w:pPr>
      <w:r>
        <w:t xml:space="preserve">2026</w:t>
      </w:r>
    </w:p>
    <w:p>
      <w:r>
        <w:br w:type="page"/>
      </w:r>
    </w:p>
    <w:p>
      <w:pPr>
        <w:pStyle w:val="Heading1"/>
      </w:pPr>
      <w:r>
        <w:t xml:space="preserve">Capítulo 10. Construcción de la solución (Avance 3)</w:t>
      </w:r>
    </w:p>
    <w:p>
      <w:pPr/>
      <w:r>
        <w:t xml:space="preserve">A la semana 12, Kamay cuenta con el flujo completo de compra implementado y versionado: catálogo, configurador con validación de compatibilidad, asesor basado en inteligencia artificial, pedido con pago simulado, seguimiento por etapas y persistencia en una base de datos relacional. El presente capítulo describe la arquitectura, la organización del código, la persistencia, la seguridad, las pruebas, el avance y el control de versiones de la solución. Todo lo descrito existe en el repositorio; lo pendiente se indica de forma explícita.</w:t>
      </w:r>
    </w:p>
    <w:p>
      <w:pPr/>
      <w:r>
        <w:t xml:space="preserve">El código fuente se encuentra en el repositorio de GitHub </w:t>
      </w:r>
      <w:hyperlink r:id="rId3" w:history="1">
        <w:r>
          <w:rPr>
            <w:rStyle w:val="Hyperlink"/>
          </w:rPr>
          <w:t xml:space="preserve">github.com/BenjaIDLC/kamay</w:t>
        </w:r>
      </w:hyperlink>
      <w:r>
        <w:t xml:space="preserve">, rama </w:t>
      </w:r>
      <w:r>
        <w:rPr>
          <w:rStyle w:val="CodeChar"/>
        </w:rPr>
        <w:t xml:space="preserve">master</w:t>
      </w:r>
      <w:r>
        <w:t xml:space="preserve">.</w:t>
      </w:r>
    </w:p>
    <w:p>
      <w:pPr>
        <w:pStyle w:val="Heading2"/>
      </w:pPr>
      <w:r>
        <w:t xml:space="preserve">10.1 Arquitectura general</w:t>
      </w:r>
    </w:p>
    <w:p>
      <w:pPr/>
      <w:r>
        <w:t xml:space="preserve">Kamay es una aplicación web de dos partes escritas en TypeScript: una SPA (aplicación de una sola página) en Angular 22, que corre en el navegador, y una API REST en Node.js con Express 5, que concentra la lógica del negocio y el acceso a los datos. El navegador nunca decide precios ni compatibilidad: cada cambio de configuración se valida en el servidor, y el servidor vuelve a validar al crear el pedido.</w:t>
      </w:r>
    </w:p>
    <w:p>
      <w:pPr/>
      <w:r>
        <w:rPr>
          <w:b/>
        </w:rPr>
        <w:t xml:space="preserve">Figura 10.1</w:t>
      </w:r>
    </w:p>
    <w:p>
      <w:pPr/>
      <w:r>
        <w:rPr>
          <w:i/>
        </w:rPr>
        <w:t xml:space="preserve">Arquitectura de Kamay por capas</w:t>
      </w:r>
    </w:p>
    <w:p>
      <w:pPr/>
      <w:r>
        <w:drawing>
          <wp:inline distT="0" distB="0" distL="0" distR="0">
            <wp:extent cx="5486400" cy="3371850"/>
            <wp:docPr id="1" name="image1" descr="Figura 10.1. Arquitectura de Kamay por cap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a 10.1. Arquitectura de Kamay por capa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Figura 10.1. Arquitectura de Kamay por capas</w:t>
      </w:r>
    </w:p>
    <w:p>
      <w:pPr/>
      <w:r>
        <w:t xml:space="preserve">El navegador envía cada acción a la API; el dominio aplica las reglas con los datos que entregan los repositorios, y solo el asesor consulta el servicio externo de OpenAI. En desarrollo, el servidor de Angular reenvía las peticiones </w:t>
      </w:r>
      <w:r>
        <w:rPr>
          <w:rStyle w:val="CodeChar"/>
        </w:rPr>
        <w:t xml:space="preserve">/api</w:t>
      </w:r>
      <w:r>
        <w:t xml:space="preserve"> a la API en el puerto 3000.</w:t>
      </w:r>
    </w:p>
    <w:p>
      <w:pPr>
        <w:pStyle w:val="Heading2"/>
      </w:pPr>
      <w:r>
        <w:t xml:space="preserve">10.2 Organización del código</w:t>
      </w:r>
    </w:p>
    <w:p>
      <w:pPr/>
      <w:r>
        <w:t xml:space="preserve">El backend se divide en módulos con una responsabilidad cada uno; la API expone ocho rutas y el frontend separa páginas, estado compartido y piezas reutilizables.</w:t>
      </w:r>
    </w:p>
    <w:p>
      <w:pPr/>
      <w:r>
        <w:rPr>
          <w:b/>
        </w:rPr>
        <w:t xml:space="preserve">Tabla 10.1</w:t>
      </w:r>
    </w:p>
    <w:p>
      <w:pPr/>
      <w:r>
        <w:rPr>
          <w:i/>
        </w:rPr>
        <w:t xml:space="preserve">Módulos del backend (carpeta </w:t>
      </w:r>
      <w:r>
        <w:rPr>
          <w:rStyle w:val="CodeChar"/>
          <w:i/>
        </w:rPr>
        <w:t xml:space="preserve">backend/</w:t>
      </w:r>
      <w:r>
        <w:rPr>
          <w:i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51"/>
        <w:gridCol w:w="4674"/>
      </w:tblGrid>
      <w:tr>
        <w:trPr>
          <w:tblHeader/>
        </w:trPr>
        <w:tc>
          <w:tcPr>
            <w:tcW w:w="4351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4674" w:type="dxa"/>
            <w:shd w:val="clear" w:color="auto" w:fill="F2F2F2"/>
          </w:tcPr>
          <w:p>
            <w:pPr/>
            <w:r>
              <w:t xml:space="preserve">Responsabilidad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server.mts</w:t>
            </w:r>
          </w:p>
        </w:tc>
        <w:tc>
          <w:tcPr>
            <w:tcW w:w="4674" w:type="dxa"/>
          </w:tcPr>
          <w:p>
            <w:pPr/>
            <w:r>
              <w:t xml:space="preserve">Crea la aplicación Express, define las rutas </w:t>
            </w:r>
            <w:r>
              <w:rPr>
                <w:rStyle w:val="CodeChar"/>
              </w:rPr>
              <w:t xml:space="preserve">/api</w:t>
            </w:r>
            <w:r>
              <w:t xml:space="preserve">, valida la entrada y traduce los errores a códigos HTTP (400, 404, 413 y 500).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compatibility.mts</w:t>
            </w:r>
          </w:p>
        </w:tc>
        <w:tc>
          <w:tcPr>
            <w:tcW w:w="4674" w:type="dxa"/>
          </w:tcPr>
          <w:p>
            <w:pPr/>
            <w:r>
              <w:t xml:space="preserve">Motor de compatibilidad: 8 reglas, estado global, total, presupuesto y conflictos por producto. Valida toda entrada con </w:t>
            </w:r>
            <w:r>
              <w:rPr>
                <w:rStyle w:val="CodeChar"/>
              </w:rPr>
              <w:t xml:space="preserve">parseConfiguration</w:t>
            </w:r>
            <w:r>
              <w:t xml:space="preserve">.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advisor.mts</w:t>
            </w:r>
          </w:p>
        </w:tc>
        <w:tc>
          <w:tcPr>
            <w:tcW w:w="4674" w:type="dxa"/>
          </w:tcPr>
          <w:p>
            <w:pPr/>
            <w:r>
              <w:t xml:space="preserve">Asesor IA: instrucciones del modelo, 3 herramientas y ciclo de llamadas (máximo 8 rondas y 90 s).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orders.mts</w:t>
            </w:r>
          </w:p>
        </w:tc>
        <w:tc>
          <w:tcPr>
            <w:tcW w:w="4674" w:type="dxa"/>
          </w:tcPr>
          <w:p>
            <w:pPr/>
            <w:r>
              <w:t xml:space="preserve">Pedidos: creación con revalidación y avance por etapas; contiene </w:t>
            </w:r>
            <w:r>
              <w:rPr>
                <w:rStyle w:val="CodeChar"/>
              </w:rPr>
              <w:t xml:space="preserve">OrderRepository</w:t>
            </w:r>
            <w:r>
              <w:t xml:space="preserve">.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catalog-repository.mts</w:t>
            </w:r>
          </w:p>
        </w:tc>
        <w:tc>
          <w:tcPr>
            <w:tcW w:w="4674" w:type="dxa"/>
          </w:tcPr>
          <w:p>
            <w:pPr/>
            <w:r>
              <w:rPr>
                <w:rStyle w:val="CodeChar"/>
              </w:rPr>
              <w:t xml:space="preserve">CatalogRepository</w:t>
            </w:r>
            <w:r>
              <w:t xml:space="preserve">: lee el catálogo de la base, lo mantiene en memoria y carga los datos iniciales.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db.mts</w:t>
            </w:r>
          </w:p>
        </w:tc>
        <w:tc>
          <w:tcPr>
            <w:tcW w:w="4674" w:type="dxa"/>
          </w:tcPr>
          <w:p>
            <w:pPr/>
            <w:r>
              <w:t xml:space="preserve">Abre la base SQLite, aplica el esquema y ejecuta transacciones.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schema.sql</w:t>
            </w:r>
          </w:p>
        </w:tc>
        <w:tc>
          <w:tcPr>
            <w:tcW w:w="4674" w:type="dxa"/>
          </w:tcPr>
          <w:p>
            <w:pPr/>
            <w:r>
              <w:t xml:space="preserve">Esquema de la base de datos: 13 tablas con sus restricciones.</w:t>
            </w:r>
          </w:p>
        </w:tc>
      </w:tr>
      <w:tr>
        <w:tc>
          <w:tcPr>
            <w:tcW w:w="4351" w:type="dxa"/>
          </w:tcPr>
          <w:p>
            <w:pPr/>
            <w:r>
              <w:rPr>
                <w:rStyle w:val="CodeChar"/>
              </w:rPr>
              <w:t xml:space="preserve">catalog.mts</w:t>
            </w:r>
            <w:r>
              <w:t xml:space="preserve">, </w:t>
            </w:r>
            <w:r>
              <w:rPr>
                <w:rStyle w:val="CodeChar"/>
              </w:rPr>
              <w:t xml:space="preserve">profiles.mts</w:t>
            </w:r>
            <w:r>
              <w:t xml:space="preserve">, </w:t>
            </w:r>
            <w:r>
              <w:rPr>
                <w:rStyle w:val="CodeChar"/>
              </w:rPr>
              <w:t xml:space="preserve">builds.mts</w:t>
            </w:r>
          </w:p>
        </w:tc>
        <w:tc>
          <w:tcPr>
            <w:tcW w:w="4674" w:type="dxa"/>
          </w:tcPr>
          <w:p>
            <w:pPr/>
            <w:r>
              <w:t xml:space="preserve">Tipos y datos iniciales: 34 componentes, 4 perfiles de uso y 4 equipos base.</w:t>
            </w:r>
          </w:p>
        </w:tc>
      </w:tr>
    </w:tbl>
    <w:p>
      <w:pPr/>
      <w:r>
        <w:rPr>
          <w:b/>
        </w:rPr>
        <w:t xml:space="preserve">Tabla 10.2</w:t>
      </w:r>
    </w:p>
    <w:p>
      <w:pPr/>
      <w:r>
        <w:rPr>
          <w:i/>
        </w:rPr>
        <w:t xml:space="preserve">Rutas de la API REST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2"/>
        <w:gridCol w:w="3308"/>
        <w:gridCol w:w="4744"/>
      </w:tblGrid>
      <w:tr>
        <w:trPr>
          <w:tblHeader/>
        </w:trPr>
        <w:tc>
          <w:tcPr>
            <w:tcW w:w="972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308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4744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972" w:type="dxa"/>
          </w:tcPr>
          <w:p>
            <w:pPr/>
            <w:r>
              <w:t xml:space="preserve">GET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/api/catalog</w:t>
            </w:r>
          </w:p>
        </w:tc>
        <w:tc>
          <w:tcPr>
            <w:tcW w:w="4744" w:type="dxa"/>
          </w:tcPr>
          <w:p>
            <w:pPr/>
            <w:r>
              <w:t xml:space="preserve">Categorías, perfiles de uso y componentes activos</w:t>
            </w:r>
          </w:p>
        </w:tc>
      </w:tr>
      <w:tr>
        <w:tc>
          <w:tcPr>
            <w:tcW w:w="972" w:type="dxa"/>
          </w:tcPr>
          <w:p>
            <w:pPr/>
            <w:r>
              <w:t xml:space="preserve">GET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/api/builds</w:t>
            </w:r>
          </w:p>
        </w:tc>
        <w:tc>
          <w:tcPr>
            <w:tcW w:w="4744" w:type="dxa"/>
          </w:tcPr>
          <w:p>
            <w:pPr/>
            <w:r>
              <w:t xml:space="preserve">Equipos base validados, opcionalmente por uso y presupuesto</w:t>
            </w:r>
          </w:p>
        </w:tc>
      </w:tr>
      <w:tr>
        <w:tc>
          <w:tcPr>
            <w:tcW w:w="972" w:type="dxa"/>
          </w:tcPr>
          <w:p>
            <w:pPr/>
            <w:r>
              <w:t xml:space="preserve">POST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/api/configurations/validate</w:t>
            </w:r>
          </w:p>
        </w:tc>
        <w:tc>
          <w:tcPr>
            <w:tcW w:w="4744" w:type="dxa"/>
          </w:tcPr>
          <w:p>
            <w:pPr/>
            <w:r>
              <w:t xml:space="preserve">Estado, reglas, total, presupuesto y conflictos de una configuración</w:t>
            </w:r>
          </w:p>
        </w:tc>
      </w:tr>
      <w:tr>
        <w:tc>
          <w:tcPr>
            <w:tcW w:w="972" w:type="dxa"/>
          </w:tcPr>
          <w:p>
            <w:pPr/>
            <w:r>
              <w:t xml:space="preserve">POST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/api/advice</w:t>
            </w:r>
          </w:p>
        </w:tc>
        <w:tc>
          <w:tcPr>
            <w:tcW w:w="4744" w:type="dxa"/>
          </w:tcPr>
          <w:p>
            <w:pPr/>
            <w:r>
              <w:t xml:space="preserve">Respuesta del asesor y última propuesta validada</w:t>
            </w:r>
          </w:p>
        </w:tc>
      </w:tr>
      <w:tr>
        <w:tc>
          <w:tcPr>
            <w:tcW w:w="972" w:type="dxa"/>
          </w:tcPr>
          <w:p>
            <w:pPr/>
            <w:r>
              <w:t xml:space="preserve">GET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/api/orders</w:t>
            </w:r>
          </w:p>
        </w:tc>
        <w:tc>
          <w:tcPr>
            <w:tcW w:w="4744" w:type="dxa"/>
          </w:tcPr>
          <w:p>
            <w:pPr/>
            <w:r>
              <w:t xml:space="preserve">Lista de pedidos</w:t>
            </w:r>
          </w:p>
        </w:tc>
      </w:tr>
      <w:tr>
        <w:tc>
          <w:tcPr>
            <w:tcW w:w="972" w:type="dxa"/>
          </w:tcPr>
          <w:p>
            <w:pPr/>
            <w:r>
              <w:t xml:space="preserve">GET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/api/orders/:id</w:t>
            </w:r>
          </w:p>
        </w:tc>
        <w:tc>
          <w:tcPr>
            <w:tcW w:w="4744" w:type="dxa"/>
          </w:tcPr>
          <w:p>
            <w:pPr/>
            <w:r>
              <w:t xml:space="preserve">Detalle y seguimiento de un pedido</w:t>
            </w:r>
          </w:p>
        </w:tc>
      </w:tr>
      <w:tr>
        <w:tc>
          <w:tcPr>
            <w:tcW w:w="972" w:type="dxa"/>
          </w:tcPr>
          <w:p>
            <w:pPr/>
            <w:r>
              <w:t xml:space="preserve">POST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/api/orders</w:t>
            </w:r>
          </w:p>
        </w:tc>
        <w:tc>
          <w:tcPr>
            <w:tcW w:w="4744" w:type="dxa"/>
          </w:tcPr>
          <w:p>
            <w:pPr/>
            <w:r>
              <w:t xml:space="preserve">Creación de un pedido con pago simulado</w:t>
            </w:r>
          </w:p>
        </w:tc>
      </w:tr>
      <w:tr>
        <w:tc>
          <w:tcPr>
            <w:tcW w:w="972" w:type="dxa"/>
          </w:tcPr>
          <w:p>
            <w:pPr/>
            <w:r>
              <w:t xml:space="preserve">POST</w:t>
            </w:r>
          </w:p>
        </w:tc>
        <w:tc>
          <w:tcPr>
            <w:tcW w:w="3308" w:type="dxa"/>
          </w:tcPr>
          <w:p>
            <w:pPr/>
            <w:r>
              <w:rPr>
                <w:rStyle w:val="CodeChar"/>
              </w:rPr>
              <w:t xml:space="preserve">/api/orders/:id/advance</w:t>
            </w:r>
          </w:p>
        </w:tc>
        <w:tc>
          <w:tcPr>
            <w:tcW w:w="4744" w:type="dxa"/>
          </w:tcPr>
          <w:p>
            <w:pPr/>
            <w:r>
              <w:t xml:space="preserve">Avance del pedido a la siguiente etapa</w:t>
            </w:r>
          </w:p>
        </w:tc>
      </w:tr>
    </w:tbl>
    <w:p>
      <w:pPr/>
      <w:r>
        <w:rPr>
          <w:b/>
        </w:rPr>
        <w:t xml:space="preserve">Tabla 10.3</w:t>
      </w:r>
    </w:p>
    <w:p>
      <w:pPr/>
      <w:r>
        <w:rPr>
          <w:i/>
        </w:rPr>
        <w:t xml:space="preserve">Estructura del frontend (carpeta </w:t>
      </w:r>
      <w:r>
        <w:rPr>
          <w:rStyle w:val="CodeChar"/>
          <w:i/>
        </w:rPr>
        <w:t xml:space="preserve">src/app/</w:t>
      </w:r>
      <w:r>
        <w:rPr>
          <w:i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19"/>
        <w:gridCol w:w="7405"/>
      </w:tblGrid>
      <w:tr>
        <w:trPr>
          <w:tblHeader/>
        </w:trPr>
        <w:tc>
          <w:tcPr>
            <w:tcW w:w="1619" w:type="dxa"/>
            <w:shd w:val="clear" w:color="auto" w:fill="F2F2F2"/>
          </w:tcPr>
          <w:p>
            <w:pPr/>
            <w:r>
              <w:t xml:space="preserve">Carpeta</w:t>
            </w:r>
          </w:p>
        </w:tc>
        <w:tc>
          <w:tcPr>
            <w:tcW w:w="7405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1619" w:type="dxa"/>
          </w:tcPr>
          <w:p>
            <w:pPr/>
            <w:r>
              <w:rPr>
                <w:rStyle w:val="CodeChar"/>
              </w:rPr>
              <w:t xml:space="preserve">pages/</w:t>
            </w:r>
          </w:p>
        </w:tc>
        <w:tc>
          <w:tcPr>
            <w:tcW w:w="7405" w:type="dxa"/>
          </w:tcPr>
          <w:p>
            <w:pPr/>
            <w:r>
              <w:t xml:space="preserve">Una página por ruta: inicio, equipos, componentes, configurador, asesor, checkout, pedido y lista de pedidos, cargadas bajo demanda (</w:t>
            </w:r>
            <w:r>
              <w:rPr>
                <w:i/>
              </w:rPr>
              <w:t xml:space="preserve">lazy loading</w:t>
            </w:r>
            <w:r>
              <w:t xml:space="preserve">).</w:t>
            </w:r>
          </w:p>
        </w:tc>
      </w:tr>
      <w:tr>
        <w:tc>
          <w:tcPr>
            <w:tcW w:w="1619" w:type="dxa"/>
          </w:tcPr>
          <w:p>
            <w:pPr/>
            <w:r>
              <w:rPr>
                <w:rStyle w:val="CodeChar"/>
              </w:rPr>
              <w:t xml:space="preserve">core/</w:t>
            </w:r>
          </w:p>
        </w:tc>
        <w:tc>
          <w:tcPr>
            <w:tcW w:w="7405" w:type="dxa"/>
          </w:tcPr>
          <w:p>
            <w:pPr/>
            <w:r>
              <w:rPr>
                <w:rStyle w:val="CodeChar"/>
              </w:rPr>
              <w:t xml:space="preserve">Api</w:t>
            </w:r>
            <w:r>
              <w:t xml:space="preserve"> (cliente HTTP), </w:t>
            </w:r>
            <w:r>
              <w:rPr>
                <w:rStyle w:val="CodeChar"/>
              </w:rPr>
              <w:t xml:space="preserve">CatalogStore</w:t>
            </w:r>
            <w:r>
              <w:t xml:space="preserve"> (catálogo cargado una vez), </w:t>
            </w:r>
            <w:r>
              <w:rPr>
                <w:rStyle w:val="CodeChar"/>
              </w:rPr>
              <w:t xml:space="preserve">ConfiguratorStore</w:t>
            </w:r>
            <w:r>
              <w:t xml:space="preserve"> (configuración en curso, validada en el servidor y guardada en el navegador) y </w:t>
            </w:r>
            <w:r>
              <w:rPr>
                <w:rStyle w:val="CodeChar"/>
              </w:rPr>
              <w:t xml:space="preserve">AdvisorStore</w:t>
            </w:r>
            <w:r>
              <w:t xml:space="preserve"> (conversación).</w:t>
            </w:r>
          </w:p>
        </w:tc>
      </w:tr>
      <w:tr>
        <w:tc>
          <w:tcPr>
            <w:tcW w:w="1619" w:type="dxa"/>
          </w:tcPr>
          <w:p>
            <w:pPr/>
            <w:r>
              <w:rPr>
                <w:rStyle w:val="CodeChar"/>
              </w:rPr>
              <w:t xml:space="preserve">shared/</w:t>
            </w:r>
          </w:p>
        </w:tc>
        <w:tc>
          <w:tcPr>
            <w:tcW w:w="7405" w:type="dxa"/>
          </w:tcPr>
          <w:p>
            <w:pPr/>
            <w:r>
              <w:t xml:space="preserve">Lista de comprobaciones, etiquetas, especificaciones e ilustración de la torre.</w:t>
            </w:r>
          </w:p>
        </w:tc>
      </w:tr>
    </w:tbl>
    <w:p>
      <w:pPr/>
      <w:r>
        <w:t xml:space="preserve">El estado se gestiona con </w:t>
      </w:r>
      <w:r>
        <w:rPr>
          <w:i/>
        </w:rPr>
        <w:t xml:space="preserve">signals</w:t>
      </w:r>
      <w:r>
        <w:t xml:space="preserve"> de Angular: al cambiar una pieza, la validación se solicita de nuevo de forma automática. El checkout valida el nombre y el correo con Signal Forms.</w:t>
      </w:r>
    </w:p>
    <w:p>
      <w:pPr>
        <w:pStyle w:val="Heading2"/>
      </w:pPr>
      <w:r>
        <w:t xml:space="preserve">10.3 Correspondencia con los conceptos del curso</w:t>
      </w:r>
    </w:p>
    <w:p>
      <w:pPr/>
      <w:r>
        <w:t xml:space="preserve">La solución no se adaptó a una arquitectura impuesta: se construyó sobre la separación de responsabilidades que ya tenía el código. La Tabla 10.4 indica dónde aparece cada concepto y hasta dónde llega su aplicación.</w:t>
      </w:r>
    </w:p>
    <w:p>
      <w:pPr/>
      <w:r>
        <w:rPr>
          <w:b/>
        </w:rPr>
        <w:t xml:space="preserve">Tabla 10.4</w:t>
      </w:r>
    </w:p>
    <w:p>
      <w:pPr/>
      <w:r>
        <w:rPr>
          <w:i/>
        </w:rPr>
        <w:t xml:space="preserve">Aplicación de MVC, DAO, SOLID y TDD en el código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3"/>
        <w:gridCol w:w="4744"/>
        <w:gridCol w:w="2487"/>
      </w:tblGrid>
      <w:tr>
        <w:trPr>
          <w:tblHeader/>
        </w:trPr>
        <w:tc>
          <w:tcPr>
            <w:tcW w:w="1793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4744" w:type="dxa"/>
            <w:shd w:val="clear" w:color="auto" w:fill="F2F2F2"/>
          </w:tcPr>
          <w:p>
            <w:pPr/>
            <w:r>
              <w:t xml:space="preserve">Dónde se aplica</w:t>
            </w:r>
          </w:p>
        </w:tc>
        <w:tc>
          <w:tcPr>
            <w:tcW w:w="2487" w:type="dxa"/>
            <w:shd w:val="clear" w:color="auto" w:fill="F2F2F2"/>
          </w:tcPr>
          <w:p>
            <w:pPr/>
            <w:r>
              <w:t xml:space="preserve">Alcance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MVC</w:t>
            </w:r>
          </w:p>
        </w:tc>
        <w:tc>
          <w:tcPr>
            <w:tcW w:w="4744" w:type="dxa"/>
          </w:tcPr>
          <w:p>
            <w:pPr/>
            <w:r>
              <w:t xml:space="preserve">Modelo: el dominio (</w:t>
            </w:r>
            <w:r>
              <w:rPr>
                <w:rStyle w:val="CodeChar"/>
              </w:rPr>
              <w:t xml:space="preserve">compatibility.mts</w:t>
            </w:r>
            <w:r>
              <w:t xml:space="preserve">, </w:t>
            </w:r>
            <w:r>
              <w:rPr>
                <w:rStyle w:val="CodeChar"/>
              </w:rPr>
              <w:t xml:space="preserve">orders.mts</w:t>
            </w:r>
            <w:r>
              <w:t xml:space="preserve">, </w:t>
            </w:r>
            <w:r>
              <w:rPr>
                <w:rStyle w:val="CodeChar"/>
              </w:rPr>
              <w:t xml:space="preserve">advisor.mts</w:t>
            </w:r>
            <w:r>
              <w:t xml:space="preserve">) y los repositorios. Vista: los componentes de </w:t>
            </w:r>
            <w:r>
              <w:rPr>
                <w:rStyle w:val="CodeChar"/>
              </w:rPr>
              <w:t xml:space="preserve">pages/</w:t>
            </w:r>
            <w:r>
              <w:t xml:space="preserve"> y </w:t>
            </w:r>
            <w:r>
              <w:rPr>
                <w:rStyle w:val="CodeChar"/>
              </w:rPr>
              <w:t xml:space="preserve">shared/</w:t>
            </w:r>
            <w:r>
              <w:t xml:space="preserve">. Controlador: las rutas de </w:t>
            </w:r>
            <w:r>
              <w:rPr>
                <w:rStyle w:val="CodeChar"/>
              </w:rPr>
              <w:t xml:space="preserve">server.mts</w:t>
            </w:r>
            <w:r>
              <w:t xml:space="preserve">, que reciben la petición, invocan al modelo y devuelven JSON; en el navegador, los stores de </w:t>
            </w:r>
            <w:r>
              <w:rPr>
                <w:rStyle w:val="CodeChar"/>
              </w:rPr>
              <w:t xml:space="preserve">core/</w:t>
            </w:r>
            <w:r>
              <w:t xml:space="preserve"> coordinan la vista con la API.</w:t>
            </w:r>
          </w:p>
        </w:tc>
        <w:tc>
          <w:tcPr>
            <w:tcW w:w="2487" w:type="dxa"/>
          </w:tcPr>
          <w:p>
            <w:pPr/>
            <w:r>
              <w:t xml:space="preserve">Completo en la separación de responsabilidades; las rutas están en un solo archivo, sin clases controladoras.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DAO</w:t>
            </w:r>
          </w:p>
        </w:tc>
        <w:tc>
          <w:tcPr>
            <w:tcW w:w="4744" w:type="dxa"/>
          </w:tcPr>
          <w:p>
            <w:pPr/>
            <w:r>
              <w:rPr>
                <w:rStyle w:val="CodeChar"/>
              </w:rPr>
              <w:t xml:space="preserve">CatalogRepository</w:t>
            </w:r>
            <w:r>
              <w:t xml:space="preserve"> y </w:t>
            </w:r>
            <w:r>
              <w:rPr>
                <w:rStyle w:val="CodeChar"/>
              </w:rPr>
              <w:t xml:space="preserve">OrderRepository</w:t>
            </w:r>
            <w:r>
              <w:t xml:space="preserve"> son las únicas clases que escriben SQL; el resto del código trabaja con objetos (</w:t>
            </w:r>
            <w:r>
              <w:rPr>
                <w:rStyle w:val="CodeChar"/>
              </w:rPr>
              <w:t xml:space="preserve">Component</w:t>
            </w:r>
            <w:r>
              <w:t xml:space="preserve">, </w:t>
            </w:r>
            <w:r>
              <w:rPr>
                <w:rStyle w:val="CodeChar"/>
              </w:rPr>
              <w:t xml:space="preserve">Order</w:t>
            </w:r>
            <w:r>
              <w:t xml:space="preserve">).</w:t>
            </w:r>
          </w:p>
        </w:tc>
        <w:tc>
          <w:tcPr>
            <w:tcW w:w="2487" w:type="dxa"/>
          </w:tcPr>
          <w:p>
            <w:pPr/>
            <w:r>
              <w:t xml:space="preserve">Completo para catálogo y pedidos; los usuarios tendrán su repositorio en la fase de cuentas.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S: responsabilidad única</w:t>
            </w:r>
          </w:p>
        </w:tc>
        <w:tc>
          <w:tcPr>
            <w:tcW w:w="4744" w:type="dxa"/>
          </w:tcPr>
          <w:p>
            <w:pPr/>
            <w:r>
              <w:t xml:space="preserve">Un módulo por tema (reglas, pedidos, asesor, acceso a datos, servidor) y un store por estado compartido.</w:t>
            </w:r>
          </w:p>
        </w:tc>
        <w:tc>
          <w:tcPr>
            <w:tcW w:w="2487" w:type="dxa"/>
          </w:tcPr>
          <w:p>
            <w:pPr/>
            <w:r>
              <w:t xml:space="preserve">Completo.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O: abierto/cerrado</w:t>
            </w:r>
          </w:p>
        </w:tc>
        <w:tc>
          <w:tcPr>
            <w:tcW w:w="4744" w:type="dxa"/>
          </w:tcPr>
          <w:p>
            <w:pPr/>
            <w:r>
              <w:t xml:space="preserve">Las reglas son una lista de objetos (</w:t>
            </w:r>
            <w:r>
              <w:rPr>
                <w:rStyle w:val="CodeChar"/>
              </w:rPr>
              <w:t xml:space="preserve">rules</w:t>
            </w:r>
            <w:r>
              <w:t xml:space="preserve">): agregar una regla es agregar una entrada sin modificar el evaluador.</w:t>
            </w:r>
          </w:p>
        </w:tc>
        <w:tc>
          <w:tcPr>
            <w:tcW w:w="2487" w:type="dxa"/>
          </w:tcPr>
          <w:p>
            <w:pPr/>
            <w:r>
              <w:t xml:space="preserve">Completo en el motor.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L: sustitución de Liskov</w:t>
            </w:r>
          </w:p>
        </w:tc>
        <w:tc>
          <w:tcPr>
            <w:tcW w:w="4744" w:type="dxa"/>
          </w:tcPr>
          <w:p>
            <w:pPr/>
            <w:r>
              <w:t xml:space="preserve">Las clases de error (</w:t>
            </w:r>
            <w:r>
              <w:rPr>
                <w:rStyle w:val="CodeChar"/>
              </w:rPr>
              <w:t xml:space="preserve">InputError</w:t>
            </w:r>
            <w:r>
              <w:t xml:space="preserve">, </w:t>
            </w:r>
            <w:r>
              <w:rPr>
                <w:rStyle w:val="CodeChar"/>
              </w:rPr>
              <w:t xml:space="preserve">NotFoundError</w:t>
            </w:r>
            <w:r>
              <w:t xml:space="preserve">, </w:t>
            </w:r>
            <w:r>
              <w:rPr>
                <w:rStyle w:val="CodeChar"/>
              </w:rPr>
              <w:t xml:space="preserve">AdvisorError</w:t>
            </w:r>
            <w:r>
              <w:t xml:space="preserve">) extienden </w:t>
            </w:r>
            <w:r>
              <w:rPr>
                <w:rStyle w:val="CodeChar"/>
              </w:rPr>
              <w:t xml:space="preserve">Error</w:t>
            </w:r>
            <w:r>
              <w:t xml:space="preserve"> y el servidor las trata de forma uniforme.</w:t>
            </w:r>
          </w:p>
        </w:tc>
        <w:tc>
          <w:tcPr>
            <w:tcW w:w="2487" w:type="dxa"/>
          </w:tcPr>
          <w:p>
            <w:pPr/>
            <w:r>
              <w:t xml:space="preserve">Uso limitado: el diseño casi no usa herencia.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I: segregación de interfaces</w:t>
            </w:r>
          </w:p>
        </w:tc>
        <w:tc>
          <w:tcPr>
            <w:tcW w:w="4744" w:type="dxa"/>
          </w:tcPr>
          <w:p>
            <w:pPr/>
            <w:r>
              <w:t xml:space="preserve">El asesor solo accede a 3 herramientas con esquemas estrictos; cada módulo exporta tipos pequeños (</w:t>
            </w:r>
            <w:r>
              <w:rPr>
                <w:rStyle w:val="CodeChar"/>
              </w:rPr>
              <w:t xml:space="preserve">ConfigurationInput</w:t>
            </w:r>
            <w:r>
              <w:t xml:space="preserve">, </w:t>
            </w:r>
            <w:r>
              <w:rPr>
                <w:rStyle w:val="CodeChar"/>
              </w:rPr>
              <w:t xml:space="preserve">Validation</w:t>
            </w:r>
            <w:r>
              <w:t xml:space="preserve">, </w:t>
            </w:r>
            <w:r>
              <w:rPr>
                <w:rStyle w:val="CodeChar"/>
              </w:rPr>
              <w:t xml:space="preserve">Order</w:t>
            </w:r>
            <w:r>
              <w:t xml:space="preserve">).</w:t>
            </w:r>
          </w:p>
        </w:tc>
        <w:tc>
          <w:tcPr>
            <w:tcW w:w="2487" w:type="dxa"/>
          </w:tcPr>
          <w:p>
            <w:pPr/>
            <w:r>
              <w:t xml:space="preserve">Parcial.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D: inversión de dependencias</w:t>
            </w:r>
          </w:p>
        </w:tc>
        <w:tc>
          <w:tcPr>
            <w:tcW w:w="4744" w:type="dxa"/>
          </w:tcPr>
          <w:p>
            <w:pPr/>
            <w:r>
              <w:rPr>
                <w:rStyle w:val="CodeChar"/>
              </w:rPr>
              <w:t xml:space="preserve">createApp</w:t>
            </w:r>
            <w:r>
              <w:t xml:space="preserve"> recibe la base de datos y las pruebas le pasan una en memoria; </w:t>
            </w:r>
            <w:r>
              <w:rPr>
                <w:rStyle w:val="CodeChar"/>
              </w:rPr>
              <w:t xml:space="preserve">advise</w:t>
            </w:r>
            <w:r>
              <w:t xml:space="preserve"> recibe la función que llama a la IA y las pruebas le pasan un proveedor simulado; Angular inyecta los servicios con </w:t>
            </w:r>
            <w:r>
              <w:rPr>
                <w:rStyle w:val="CodeChar"/>
              </w:rPr>
              <w:t xml:space="preserve">inject()</w:t>
            </w:r>
            <w:r>
              <w:t xml:space="preserve">.</w:t>
            </w:r>
          </w:p>
        </w:tc>
        <w:tc>
          <w:tcPr>
            <w:tcW w:w="2487" w:type="dxa"/>
          </w:tcPr>
          <w:p>
            <w:pPr/>
            <w:r>
              <w:t xml:space="preserve">Completo en los puntos que se prueban.</w:t>
            </w:r>
          </w:p>
        </w:tc>
      </w:tr>
      <w:tr>
        <w:tc>
          <w:tcPr>
            <w:tcW w:w="1793" w:type="dxa"/>
          </w:tcPr>
          <w:p>
            <w:pPr/>
            <w:r>
              <w:t xml:space="preserve">TDD</w:t>
            </w:r>
          </w:p>
        </w:tc>
        <w:tc>
          <w:tcPr>
            <w:tcW w:w="4744" w:type="dxa"/>
          </w:tcPr>
          <w:p>
            <w:pPr/>
            <w:r>
              <w:t xml:space="preserve">18 pruebas automatizadas con </w:t>
            </w:r>
            <w:r>
              <w:rPr>
                <w:rStyle w:val="CodeChar"/>
              </w:rPr>
              <w:t xml:space="preserve">node:test</w:t>
            </w:r>
            <w:r>
              <w:t xml:space="preserve"> y una prueba con el modelo real.</w:t>
            </w:r>
          </w:p>
        </w:tc>
        <w:tc>
          <w:tcPr>
            <w:tcW w:w="2487" w:type="dxa"/>
          </w:tcPr>
          <w:p>
            <w:pPr/>
            <w:r>
              <w:t xml:space="preserve">Las pruebas se escribieron junto con el código, no siempre antes; cubren cada regla del motor, la base de datos, la API, los pedidos y el asesor.</w:t>
            </w:r>
          </w:p>
        </w:tc>
      </w:tr>
    </w:tbl>
    <w:p>
      <w:pPr>
        <w:pStyle w:val="Heading2"/>
      </w:pPr>
      <w:r>
        <w:t xml:space="preserve">10.4 Flujos principales</w:t>
      </w:r>
    </w:p>
    <w:p>
      <w:pPr/>
      <w:r>
        <w:t xml:space="preserve">Los tres flujos principales comparten una regla: lo que ve el cliente sale siempre del motor de compatibilidad del servidor.</w:t>
      </w:r>
    </w:p>
    <w:p>
      <w:pPr>
        <w:pStyle w:val="Heading3"/>
      </w:pPr>
      <w:r>
        <w:t xml:space="preserve">Validar una configuración</w:t>
      </w:r>
    </w:p>
    <w:p>
      <w:pPr>
        <w:pStyle w:val="ListParagraph"/>
        <w:numPr>
          <w:ilvl w:val="0"/>
          <w:numId w:val="3"/>
        </w:numPr>
      </w:pPr>
      <w:r>
        <w:t xml:space="preserve">El cliente cambia una pieza en el configurador.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ConfiguratorStore</w:t>
      </w:r>
      <w:r>
        <w:t xml:space="preserve"> envía la configuración a </w:t>
      </w:r>
      <w:r>
        <w:rPr>
          <w:rStyle w:val="CodeChar"/>
        </w:rPr>
        <w:t xml:space="preserve">POST /api/configurations/validate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La API revisa la entrada con </w:t>
      </w:r>
      <w:r>
        <w:rPr>
          <w:rStyle w:val="CodeChar"/>
        </w:rPr>
        <w:t xml:space="preserve">parseConfiguration</w:t>
      </w:r>
      <w:r>
        <w:t xml:space="preserve"> y la evalúa con las 8 reglas, usando el catálogo que </w:t>
      </w:r>
      <w:r>
        <w:rPr>
          <w:rStyle w:val="CodeChar"/>
        </w:rPr>
        <w:t xml:space="preserve">CatalogRepository</w:t>
      </w:r>
      <w:r>
        <w:t xml:space="preserve"> mantiene en memoria.</w:t>
      </w:r>
    </w:p>
    <w:p>
      <w:pPr>
        <w:pStyle w:val="ListParagraph"/>
        <w:numPr>
          <w:ilvl w:val="0"/>
          <w:numId w:val="3"/>
        </w:numPr>
      </w:pPr>
      <w:r>
        <w:t xml:space="preserve">La respuesta trae el estado global, el resultado de cada regla, el total, la comparación con el presupuesto y, por cada producto, los bloqueos que causaría al elegirlo.</w:t>
      </w:r>
    </w:p>
    <w:p>
      <w:pPr>
        <w:pStyle w:val="ListParagraph"/>
        <w:numPr>
          <w:ilvl w:val="0"/>
          <w:numId w:val="3"/>
        </w:numPr>
      </w:pPr>
      <w:r>
        <w:t xml:space="preserve">El configurador muestra las comprobaciones y lista primero las opciones compatibles.</w:t>
      </w:r>
    </w:p>
    <w:p>
      <w:pPr>
        <w:pStyle w:val="Heading3"/>
      </w:pPr>
      <w:r>
        <w:t xml:space="preserve">Crear un pedido</w:t>
      </w:r>
    </w:p>
    <w:p>
      <w:pPr/>
      <w:r>
        <w:rPr>
          <w:b/>
        </w:rPr>
        <w:t xml:space="preserve">Figura 10.2</w:t>
      </w:r>
    </w:p>
    <w:p>
      <w:pPr/>
      <w:r>
        <w:rPr>
          <w:i/>
        </w:rPr>
        <w:t xml:space="preserve">Creación de un pedido</w:t>
      </w:r>
    </w:p>
    <w:p>
      <w:pPr/>
      <w:r>
        <w:drawing>
          <wp:inline distT="0" distB="0" distL="0" distR="0">
            <wp:extent cx="5486400" cy="2302328"/>
            <wp:docPr id="2" name="image2" descr="Figura 10.2. Creación de un pedi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a 10.2. Creación de un pedid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Figura 10.2. Creación de un pedido</w:t>
      </w:r>
    </w:p>
    <w:p>
      <w:pPr/>
      <w:r>
        <w:t xml:space="preserve">Aunque el configurador ya validó la configuración, el servidor la vuelve a validar al crear el pedido; si no es válida, responde con el motivo y no guarda nada.</w:t>
      </w:r>
    </w:p>
    <w:p>
      <w:pPr>
        <w:pStyle w:val="Heading3"/>
      </w:pPr>
      <w:r>
        <w:t xml:space="preserve">Conversación con el asesor</w:t>
      </w:r>
    </w:p>
    <w:p>
      <w:pPr/>
      <w:r>
        <w:rPr>
          <w:b/>
        </w:rPr>
        <w:t xml:space="preserve">Figura 10.3</w:t>
      </w:r>
    </w:p>
    <w:p>
      <w:pPr/>
      <w:r>
        <w:rPr>
          <w:i/>
        </w:rPr>
        <w:t xml:space="preserve">Ciclo de herramientas del asesor</w:t>
      </w:r>
    </w:p>
    <w:p>
      <w:pPr/>
      <w:r>
        <w:drawing>
          <wp:inline distT="0" distB="0" distL="0" distR="0">
            <wp:extent cx="5486400" cy="2465614"/>
            <wp:docPr id="3" name="image3" descr="Figura 10.3. Ciclo de herramientas del ases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gura 10.3. Ciclo de herramientas del aseso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Figura 10.3. Ciclo de herramientas del asesor</w:t>
      </w:r>
    </w:p>
    <w:p>
      <w:pPr/>
      <w:r>
        <w:t xml:space="preserve">El modelo de lenguaje no accede a los datos: pide una herramienta, el servidor la ejecuta y le devuelve el resultado, hasta un máximo de 8 rondas. La propuesta que llega al cliente es la última que validó el motor, no el texto del modelo.</w:t>
      </w:r>
    </w:p>
    <w:p>
      <w:pPr/>
      <w:r>
        <w:rPr>
          <w:b/>
        </w:rPr>
        <w:t xml:space="preserve">Tabla 10.5</w:t>
      </w:r>
    </w:p>
    <w:p>
      <w:pPr/>
      <w:r>
        <w:rPr>
          <w:i/>
        </w:rPr>
        <w:t xml:space="preserve">Herramientas del asesor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28"/>
        <w:gridCol w:w="5696"/>
      </w:tblGrid>
      <w:tr>
        <w:trPr>
          <w:tblHeader/>
        </w:trPr>
        <w:tc>
          <w:tcPr>
            <w:tcW w:w="3328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5696" w:type="dxa"/>
            <w:shd w:val="clear" w:color="auto" w:fill="F2F2F2"/>
          </w:tcPr>
          <w:p>
            <w:pPr/>
            <w:r>
              <w:t xml:space="preserve">Qué devuelve</w:t>
            </w:r>
          </w:p>
        </w:tc>
      </w:tr>
      <w:tr>
        <w:tc>
          <w:tcPr>
            <w:tcW w:w="3328" w:type="dxa"/>
          </w:tcPr>
          <w:p>
            <w:pPr/>
            <w:r>
              <w:rPr>
                <w:rStyle w:val="CodeChar"/>
              </w:rPr>
              <w:t xml:space="preserve">search_catalog</w:t>
            </w:r>
          </w:p>
        </w:tc>
        <w:tc>
          <w:tcPr>
            <w:tcW w:w="5696" w:type="dxa"/>
          </w:tcPr>
          <w:p>
            <w:pPr/>
            <w:r>
              <w:t xml:space="preserve">Componentes del catálogo, opcionalmente de una categoría, con precio, especificaciones, justificación y usos sugeridos</w:t>
            </w:r>
          </w:p>
        </w:tc>
      </w:tr>
      <w:tr>
        <w:tc>
          <w:tcPr>
            <w:tcW w:w="3328" w:type="dxa"/>
          </w:tcPr>
          <w:p>
            <w:pPr/>
            <w:r>
              <w:rPr>
                <w:rStyle w:val="CodeChar"/>
              </w:rPr>
              <w:t xml:space="preserve">get_builds</w:t>
            </w:r>
          </w:p>
        </w:tc>
        <w:tc>
          <w:tcPr>
            <w:tcW w:w="5696" w:type="dxa"/>
          </w:tcPr>
          <w:p>
            <w:pPr/>
            <w:r>
              <w:t xml:space="preserve">Equipos base validados para un uso y un presupuesto</w:t>
            </w:r>
          </w:p>
        </w:tc>
      </w:tr>
      <w:tr>
        <w:tc>
          <w:tcPr>
            <w:tcW w:w="3328" w:type="dxa"/>
          </w:tcPr>
          <w:p>
            <w:pPr/>
            <w:r>
              <w:rPr>
                <w:rStyle w:val="CodeChar"/>
              </w:rPr>
              <w:t xml:space="preserve">validate_configuration</w:t>
            </w:r>
          </w:p>
        </w:tc>
        <w:tc>
          <w:tcPr>
            <w:tcW w:w="5696" w:type="dxa"/>
          </w:tcPr>
          <w:p>
            <w:pPr/>
            <w:r>
              <w:t xml:space="preserve">El resultado del motor de compatibilidad; el modelo debe llamarla antes de presentar cualquier propuesta</w:t>
            </w:r>
          </w:p>
        </w:tc>
      </w:tr>
    </w:tbl>
    <w:p>
      <w:pPr/>
      <w:r>
        <w:t xml:space="preserve">Las tres herramientas solo leen datos. Si el modelo pide un producto que no existe, la herramienta le devuelve un error y el modelo debe corregirse.</w:t>
      </w:r>
    </w:p>
    <w:p>
      <w:pPr>
        <w:pStyle w:val="Heading2"/>
      </w:pPr>
      <w:r>
        <w:t xml:space="preserve">10.5 Persistencia y modelo de datos</w:t>
      </w:r>
    </w:p>
    <w:p>
      <w:pPr/>
      <w:r>
        <w:t xml:space="preserve">Los datos se guardan en SQLite mediante el módulo </w:t>
      </w:r>
      <w:r>
        <w:rPr>
          <w:rStyle w:val="CodeChar"/>
        </w:rPr>
        <w:t xml:space="preserve">node:sqlite</w:t>
      </w:r>
      <w:r>
        <w:t xml:space="preserve">, incluido en Node.js, por lo que no se requiere instalar un servidor de base de datos. La base es el archivo </w:t>
      </w:r>
      <w:r>
        <w:rPr>
          <w:rStyle w:val="CodeChar"/>
        </w:rPr>
        <w:t xml:space="preserve">data/kamay.db</w:t>
      </w:r>
      <w:r>
        <w:t xml:space="preserve">; al arrancar, la API aplica el esquema (</w:t>
      </w:r>
      <w:r>
        <w:rPr>
          <w:rStyle w:val="CodeChar"/>
        </w:rPr>
        <w:t xml:space="preserve">backend/schema.sql</w:t>
      </w:r>
      <w:r>
        <w:t xml:space="preserve">) y, si la base está vacía, carga 8 categorías, 17 marcas, 34 componentes, 4 perfiles de uso y 4 equipos base.</w:t>
      </w:r>
    </w:p>
    <w:p>
      <w:pPr/>
      <w:r>
        <w:rPr>
          <w:b/>
        </w:rPr>
        <w:t xml:space="preserve">Figura 10.4</w:t>
      </w:r>
    </w:p>
    <w:p>
      <w:pPr/>
      <w:r>
        <w:rPr>
          <w:i/>
        </w:rPr>
        <w:t xml:space="preserve">Modelo de datos: 13 tablas en tres grupos</w:t>
      </w:r>
    </w:p>
    <w:p>
      <w:pPr/>
      <w:r>
        <w:drawing>
          <wp:inline distT="0" distB="0" distL="0" distR="0">
            <wp:extent cx="5486400" cy="4327071"/>
            <wp:docPr id="4" name="image4" descr="Figura 10.4. Modelo de datos: 13 tablas en tres grup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igura 10.4. Modelo de datos: 13 tablas en tres grupo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Figura 10.4. Modelo de datos: 13 tablas en tres grupos</w:t>
      </w:r>
    </w:p>
    <w:p>
      <w:pPr/>
      <w:r>
        <w:rPr>
          <w:b/>
        </w:rPr>
        <w:t xml:space="preserve">Tabla 10.6</w:t>
      </w:r>
    </w:p>
    <w:p>
      <w:pPr/>
      <w:r>
        <w:rPr>
          <w:i/>
        </w:rPr>
        <w:t xml:space="preserve">Grupos de tablas y estado de uso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7"/>
        <w:gridCol w:w="4744"/>
        <w:gridCol w:w="3163"/>
      </w:tblGrid>
      <w:tr>
        <w:trPr>
          <w:tblHeader/>
        </w:trPr>
        <w:tc>
          <w:tcPr>
            <w:tcW w:w="1117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4744" w:type="dxa"/>
            <w:shd w:val="clear" w:color="auto" w:fill="F2F2F2"/>
          </w:tcPr>
          <w:p>
            <w:pPr/>
            <w:r>
              <w:t xml:space="preserve">Tablas</w:t>
            </w:r>
          </w:p>
        </w:tc>
        <w:tc>
          <w:tcPr>
            <w:tcW w:w="3163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117" w:type="dxa"/>
          </w:tcPr>
          <w:p>
            <w:pPr/>
            <w:r>
              <w:t xml:space="preserve">Catálogo</w:t>
            </w:r>
          </w:p>
        </w:tc>
        <w:tc>
          <w:tcPr>
            <w:tcW w:w="4744" w:type="dxa"/>
          </w:tcPr>
          <w:p>
            <w:pPr/>
            <w:r>
              <w:rPr>
                <w:rStyle w:val="CodeChar"/>
              </w:rPr>
              <w:t xml:space="preserve">categoria</w:t>
            </w:r>
            <w:r>
              <w:t xml:space="preserve">, </w:t>
            </w:r>
            <w:r>
              <w:rPr>
                <w:rStyle w:val="CodeChar"/>
              </w:rPr>
              <w:t xml:space="preserve">marca</w:t>
            </w:r>
            <w:r>
              <w:t xml:space="preserve">, </w:t>
            </w:r>
            <w:r>
              <w:rPr>
                <w:rStyle w:val="CodeChar"/>
              </w:rPr>
              <w:t xml:space="preserve">componente</w:t>
            </w:r>
            <w:r>
              <w:t xml:space="preserve">, </w:t>
            </w:r>
            <w:r>
              <w:rPr>
                <w:rStyle w:val="CodeChar"/>
              </w:rPr>
              <w:t xml:space="preserve">componente_soporte</w:t>
            </w:r>
            <w:r>
              <w:t xml:space="preserve">, </w:t>
            </w:r>
            <w:r>
              <w:rPr>
                <w:rStyle w:val="CodeChar"/>
              </w:rPr>
              <w:t xml:space="preserve">perfil_uso</w:t>
            </w:r>
            <w:r>
              <w:t xml:space="preserve">, </w:t>
            </w:r>
            <w:r>
              <w:rPr>
                <w:rStyle w:val="CodeChar"/>
              </w:rPr>
              <w:t xml:space="preserve">componente_perfil</w:t>
            </w:r>
            <w:r>
              <w:t xml:space="preserve">, </w:t>
            </w:r>
            <w:r>
              <w:rPr>
                <w:rStyle w:val="CodeChar"/>
              </w:rPr>
              <w:t xml:space="preserve">equipo_base</w:t>
            </w:r>
            <w:r>
              <w:t xml:space="preserve">, </w:t>
            </w:r>
            <w:r>
              <w:rPr>
                <w:rStyle w:val="CodeChar"/>
              </w:rPr>
              <w:t xml:space="preserve">equipo_base_componente</w:t>
            </w:r>
          </w:p>
        </w:tc>
        <w:tc>
          <w:tcPr>
            <w:tcW w:w="3163" w:type="dxa"/>
          </w:tcPr>
          <w:p>
            <w:pPr/>
            <w:r>
              <w:t xml:space="preserve">En uso</w:t>
            </w:r>
          </w:p>
        </w:tc>
      </w:tr>
      <w:tr>
        <w:tc>
          <w:tcPr>
            <w:tcW w:w="1117" w:type="dxa"/>
          </w:tcPr>
          <w:p>
            <w:pPr/>
            <w:r>
              <w:t xml:space="preserve">Cuentas</w:t>
            </w:r>
          </w:p>
        </w:tc>
        <w:tc>
          <w:tcPr>
            <w:tcW w:w="4744" w:type="dxa"/>
          </w:tcPr>
          <w:p>
            <w:pPr/>
            <w:r>
              <w:rPr>
                <w:rStyle w:val="CodeChar"/>
              </w:rPr>
              <w:t xml:space="preserve">usuario</w:t>
            </w:r>
            <w:r>
              <w:t xml:space="preserve">, </w:t>
            </w:r>
            <w:r>
              <w:rPr>
                <w:rStyle w:val="CodeChar"/>
              </w:rPr>
              <w:t xml:space="preserve">sesion</w:t>
            </w:r>
          </w:p>
        </w:tc>
        <w:tc>
          <w:tcPr>
            <w:tcW w:w="3163" w:type="dxa"/>
          </w:tcPr>
          <w:p>
            <w:pPr/>
            <w:r>
              <w:t xml:space="preserve">Creadas; se usarán en la fase de cuentas</w:t>
            </w:r>
          </w:p>
        </w:tc>
      </w:tr>
      <w:tr>
        <w:tc>
          <w:tcPr>
            <w:tcW w:w="1117" w:type="dxa"/>
          </w:tcPr>
          <w:p>
            <w:pPr/>
            <w:r>
              <w:t xml:space="preserve">Pedidos</w:t>
            </w:r>
          </w:p>
        </w:tc>
        <w:tc>
          <w:tcPr>
            <w:tcW w:w="4744" w:type="dxa"/>
          </w:tcPr>
          <w:p>
            <w:pPr/>
            <w:r>
              <w:rPr>
                <w:rStyle w:val="CodeChar"/>
              </w:rPr>
              <w:t xml:space="preserve">pedido</w:t>
            </w:r>
            <w:r>
              <w:t xml:space="preserve">, </w:t>
            </w:r>
            <w:r>
              <w:rPr>
                <w:rStyle w:val="CodeChar"/>
              </w:rPr>
              <w:t xml:space="preserve">pedido_item</w:t>
            </w:r>
            <w:r>
              <w:t xml:space="preserve">, </w:t>
            </w:r>
            <w:r>
              <w:rPr>
                <w:rStyle w:val="CodeChar"/>
              </w:rPr>
              <w:t xml:space="preserve">historial_etapa</w:t>
            </w:r>
          </w:p>
        </w:tc>
        <w:tc>
          <w:tcPr>
            <w:tcW w:w="3163" w:type="dxa"/>
          </w:tcPr>
          <w:p>
            <w:pPr/>
            <w:r>
              <w:t xml:space="preserve">En uso</w:t>
            </w:r>
          </w:p>
        </w:tc>
      </w:tr>
    </w:tbl>
    <w:p>
      <w:pPr/>
      <w:r>
        <w:t xml:space="preserve">El modelo responde a cinco decisiones: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Especificaciones como columnas.</w:t>
      </w:r>
      <w:r>
        <w:t xml:space="preserve"> Cada especificación de un solo valor es una columna de </w:t>
      </w:r>
      <w:r>
        <w:rPr>
          <w:rStyle w:val="CodeChar"/>
        </w:rPr>
        <w:t xml:space="preserve">componente</w:t>
      </w:r>
      <w:r>
        <w:t xml:space="preserve">; las que no aplican a una categoría quedan en NULL. Las de varios valores, como los sockets de un cooler o los formatos de placa de un gabinete, se guardan en </w:t>
      </w:r>
      <w:r>
        <w:rPr>
          <w:rStyle w:val="CodeChar"/>
        </w:rPr>
        <w:t xml:space="preserve">componente_soporte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Precio congelado.</w:t>
      </w:r>
      <w:r>
        <w:t xml:space="preserve"> </w:t>
      </w:r>
      <w:r>
        <w:rPr>
          <w:rStyle w:val="CodeChar"/>
        </w:rPr>
        <w:t xml:space="preserve">pedido_item</w:t>
      </w:r>
      <w:r>
        <w:t xml:space="preserve"> copia el nombre y el precio del componente al comprar, de modo que un cambio posterior en el catálogo no altera los pedidos anteriores.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Desactivar en lugar de borrar.</w:t>
      </w:r>
      <w:r>
        <w:t xml:space="preserve"> Un componente retirado queda con </w:t>
      </w:r>
      <w:r>
        <w:rPr>
          <w:rStyle w:val="CodeChar"/>
        </w:rPr>
        <w:t xml:space="preserve">activo = 0</w:t>
      </w:r>
      <w:r>
        <w:t xml:space="preserve">: sale del catálogo, oculta los equipos base que lo usan y los pedidos antiguos lo conservan.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Restricciones en la base.</w:t>
      </w:r>
      <w:r>
        <w:t xml:space="preserve"> Claves foráneas activadas, valores únicos y restricciones </w:t>
      </w:r>
      <w:r>
        <w:rPr>
          <w:rStyle w:val="CodeChar"/>
        </w:rPr>
        <w:t xml:space="preserve">CHECK</w:t>
      </w:r>
      <w:r>
        <w:t xml:space="preserve">: etapas válidas, precios mayores que cero, RUC de 11 dígitos en la cuenta, y RUC y razón social obligatorios en una factura.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Transacciones.</w:t>
      </w:r>
      <w:r>
        <w:t xml:space="preserve"> El pedido, sus piezas y su primera etapa se guardan en una sola transacción, igual que cada avance de etapa.</w:t>
      </w:r>
    </w:p>
    <w:p>
      <w:pPr/>
      <w:r>
        <w:t xml:space="preserve">El acceso a los datos sigue el patrón repositorio. </w:t>
      </w:r>
      <w:r>
        <w:rPr>
          <w:rStyle w:val="CodeChar"/>
        </w:rPr>
        <w:t xml:space="preserve">CatalogRepository</w:t>
      </w:r>
      <w:r>
        <w:t xml:space="preserve"> lee el catálogo una vez y lo mantiene en memoria, porque el motor lo recorre completo en cada validación para calcular los conflictos; tras modificarlo se vuelve a cargar con </w:t>
      </w:r>
      <w:r>
        <w:rPr>
          <w:rStyle w:val="CodeChar"/>
        </w:rPr>
        <w:t xml:space="preserve">reload()</w:t>
      </w:r>
      <w:r>
        <w:t xml:space="preserve">. </w:t>
      </w:r>
      <w:r>
        <w:rPr>
          <w:rStyle w:val="CodeChar"/>
        </w:rPr>
        <w:t xml:space="preserve">OrderRepository</w:t>
      </w:r>
      <w:r>
        <w:t xml:space="preserve"> lista, consulta, crea y avanza pedidos. Las pruebas usan una base en memoria (</w:t>
      </w:r>
      <w:r>
        <w:rPr>
          <w:rStyle w:val="CodeChar"/>
        </w:rPr>
        <w:t xml:space="preserve">:memory:</w:t>
      </w:r>
      <w:r>
        <w:t xml:space="preserve">) sin cambiar el resto del código.</w:t>
      </w:r>
    </w:p>
    <w:p>
      <w:pPr>
        <w:pStyle w:val="Heading2"/>
      </w:pPr>
      <w:r>
        <w:t xml:space="preserve">10.6 Seguridad</w:t>
      </w:r>
    </w:p>
    <w:p>
      <w:pPr/>
      <w:r>
        <w:t xml:space="preserve">El principio de seguridad de la solución es que el servidor decide: el navegador y el modelo de lenguaje solo proponen, y toda entrada se valida antes de usarse. La Tabla 10.7 resume las medidas implementadas.</w:t>
      </w:r>
    </w:p>
    <w:p>
      <w:pPr/>
      <w:r>
        <w:rPr>
          <w:b/>
        </w:rPr>
        <w:t xml:space="preserve">Tabla 10.7</w:t>
      </w:r>
    </w:p>
    <w:p>
      <w:pPr/>
      <w:r>
        <w:rPr>
          <w:i/>
        </w:rPr>
        <w:t xml:space="preserve">Medidas de seguridad implementadas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744"/>
        <w:gridCol w:w="4281"/>
      </w:tblGrid>
      <w:tr>
        <w:trPr>
          <w:tblHeader/>
        </w:trPr>
        <w:tc>
          <w:tcPr>
            <w:tcW w:w="4744" w:type="dxa"/>
            <w:shd w:val="clear" w:color="auto" w:fill="F2F2F2"/>
          </w:tcPr>
          <w:p>
            <w:pPr/>
            <w:r>
              <w:t xml:space="preserve">Medida</w:t>
            </w:r>
          </w:p>
        </w:tc>
        <w:tc>
          <w:tcPr>
            <w:tcW w:w="4281" w:type="dxa"/>
            <w:shd w:val="clear" w:color="auto" w:fill="F2F2F2"/>
          </w:tcPr>
          <w:p>
            <w:pPr/>
            <w:r>
              <w:t xml:space="preserve">Ubicación en el código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El servidor es la única fuente de precio y compatibilidad, y revalida al crear el pedido</w:t>
            </w:r>
          </w:p>
        </w:tc>
        <w:tc>
          <w:tcPr>
            <w:tcW w:w="4281" w:type="dxa"/>
          </w:tcPr>
          <w:p>
            <w:pPr/>
            <w:r>
              <w:rPr>
                <w:rStyle w:val="CodeChar"/>
              </w:rPr>
              <w:t xml:space="preserve">compatibility.mts</w:t>
            </w:r>
            <w:r>
              <w:t xml:space="preserve">, </w:t>
            </w:r>
            <w:r>
              <w:rPr>
                <w:rStyle w:val="CodeChar"/>
              </w:rPr>
              <w:t xml:space="preserve">orders.mts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Validación de toda entrada: tipos, productos existentes, un producto por categoría, presupuesto mayor que 0 y hasta S/ 1 000 000, nombre de hasta 100 caracteres y correo válido</w:t>
            </w:r>
          </w:p>
        </w:tc>
        <w:tc>
          <w:tcPr>
            <w:tcW w:w="4281" w:type="dxa"/>
          </w:tcPr>
          <w:p>
            <w:pPr/>
            <w:r>
              <w:rPr>
                <w:rStyle w:val="CodeChar"/>
              </w:rPr>
              <w:t xml:space="preserve">parseConfiguration</w:t>
            </w:r>
            <w:r>
              <w:t xml:space="preserve">, </w:t>
            </w:r>
            <w:r>
              <w:rPr>
                <w:rStyle w:val="CodeChar"/>
              </w:rPr>
              <w:t xml:space="preserve">OrderRepository.create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Límite de 32 KB por petición; de 1 a 30 mensajes de hasta 4000 caracteres en el chat</w:t>
            </w:r>
          </w:p>
        </w:tc>
        <w:tc>
          <w:tcPr>
            <w:tcW w:w="4281" w:type="dxa"/>
          </w:tcPr>
          <w:p>
            <w:pPr/>
            <w:r>
              <w:rPr>
                <w:rStyle w:val="CodeChar"/>
              </w:rPr>
              <w:t xml:space="preserve">server.mts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La clave de la API de OpenAI solo existe en el servidor, como variable de entorno</w:t>
            </w:r>
          </w:p>
        </w:tc>
        <w:tc>
          <w:tcPr>
            <w:tcW w:w="4281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, </w:t>
            </w:r>
            <w:r>
              <w:rPr>
                <w:rStyle w:val="CodeChar"/>
              </w:rPr>
              <w:t xml:space="preserve">advisor.mts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El asesor solo dispone de herramientas de lectura, como máximo 8 rondas y 90 s, y trata los mensajes del usuario como datos, no como órdenes</w:t>
            </w:r>
          </w:p>
        </w:tc>
        <w:tc>
          <w:tcPr>
            <w:tcW w:w="4281" w:type="dxa"/>
          </w:tcPr>
          <w:p>
            <w:pPr/>
            <w:r>
              <w:rPr>
                <w:rStyle w:val="CodeChar"/>
              </w:rPr>
              <w:t xml:space="preserve">advisor.mts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No se solicitan ni guardan datos de tarjeta; no se guardan las conversaciones</w:t>
            </w:r>
          </w:p>
        </w:tc>
        <w:tc>
          <w:tcPr>
            <w:tcW w:w="4281" w:type="dxa"/>
          </w:tcPr>
          <w:p>
            <w:pPr/>
            <w:r>
              <w:t xml:space="preserve">Checkout, </w:t>
            </w:r>
            <w:r>
              <w:rPr>
                <w:rStyle w:val="CodeChar"/>
              </w:rPr>
              <w:t xml:space="preserve">AdvisorStore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Consultas SQL con parámetros, sin concatenar texto del usuario</w:t>
            </w:r>
          </w:p>
        </w:tc>
        <w:tc>
          <w:tcPr>
            <w:tcW w:w="4281" w:type="dxa"/>
          </w:tcPr>
          <w:p>
            <w:pPr/>
            <w:r>
              <w:t xml:space="preserve">Repositorios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Restricciones de integridad en la base de datos (claves foráneas, valores únicos y </w:t>
            </w:r>
            <w:r>
              <w:rPr>
                <w:rStyle w:val="CodeChar"/>
              </w:rPr>
              <w:t xml:space="preserve">CHECK</w:t>
            </w:r>
            <w:r>
              <w:t xml:space="preserve">)</w:t>
            </w:r>
          </w:p>
        </w:tc>
        <w:tc>
          <w:tcPr>
            <w:tcW w:w="4281" w:type="dxa"/>
          </w:tcPr>
          <w:p>
            <w:pPr/>
            <w:r>
              <w:rPr>
                <w:rStyle w:val="CodeChar"/>
              </w:rPr>
              <w:t xml:space="preserve">schema.sql</w:t>
            </w:r>
          </w:p>
        </w:tc>
      </w:tr>
      <w:tr>
        <w:tc>
          <w:tcPr>
            <w:tcW w:w="4744" w:type="dxa"/>
          </w:tcPr>
          <w:p>
            <w:pPr/>
            <w:r>
              <w:t xml:space="preserve">La API solo escucha en </w:t>
            </w:r>
            <w:r>
              <w:rPr>
                <w:rStyle w:val="CodeChar"/>
              </w:rPr>
              <w:t xml:space="preserve">127.0.0.1</w:t>
            </w:r>
            <w:r>
              <w:t xml:space="preserve"> y no expone la cabecera </w:t>
            </w:r>
            <w:r>
              <w:rPr>
                <w:rStyle w:val="CodeChar"/>
              </w:rPr>
              <w:t xml:space="preserve">x-powered-by</w:t>
            </w:r>
          </w:p>
        </w:tc>
        <w:tc>
          <w:tcPr>
            <w:tcW w:w="4281" w:type="dxa"/>
          </w:tcPr>
          <w:p>
            <w:pPr/>
            <w:r>
              <w:rPr>
                <w:rStyle w:val="CodeChar"/>
              </w:rPr>
              <w:t xml:space="preserve">server.mts</w:t>
            </w:r>
          </w:p>
        </w:tc>
      </w:tr>
    </w:tbl>
    <w:p>
      <w:pPr/>
      <w:r>
        <w:t xml:space="preserve">Limitaciones conocidas, que se resolverán en la fase de cuentas (semana 13):</w:t>
      </w:r>
    </w:p>
    <w:p>
      <w:pPr>
        <w:pStyle w:val="ListParagraph"/>
        <w:numPr>
          <w:ilvl w:val="0"/>
          <w:numId w:val="5"/>
        </w:numPr>
      </w:pPr>
      <w:r>
        <w:t xml:space="preserve">La lista de pedidos y el avance de etapas no requieren autenticación; pasarán a ser exclusivos del rol administrador.</w:t>
      </w:r>
    </w:p>
    <w:p>
      <w:pPr>
        <w:pStyle w:val="ListParagraph"/>
        <w:numPr>
          <w:ilvl w:val="0"/>
          <w:numId w:val="5"/>
        </w:numPr>
      </w:pPr>
      <w:r>
        <w:t xml:space="preserve">El asesor no limita el número de peticiones por usuario.</w:t>
      </w:r>
    </w:p>
    <w:p>
      <w:pPr>
        <w:pStyle w:val="ListParagraph"/>
        <w:numPr>
          <w:ilvl w:val="0"/>
          <w:numId w:val="5"/>
        </w:numPr>
      </w:pPr>
      <w:r>
        <w:t xml:space="preserve">Las contraseñas se guardarán solo como hash </w:t>
      </w:r>
      <w:r>
        <w:rPr>
          <w:rStyle w:val="CodeChar"/>
        </w:rPr>
        <w:t xml:space="preserve">scrypt</w:t>
      </w:r>
      <w:r>
        <w:t xml:space="preserve">; la columna existe, pero la funcionalidad aún no.</w:t>
      </w:r>
    </w:p>
    <w:p>
      <w:pPr>
        <w:pStyle w:val="Heading2"/>
      </w:pPr>
      <w:r>
        <w:t xml:space="preserve">10.7 Tecnologías y librerías</w:t>
      </w:r>
    </w:p>
    <w:p>
      <w:pPr/>
      <w:r>
        <w:t xml:space="preserve">Se priorizó lo que ya incluyen Node.js y Angular: el backend tiene una sola dependencia de producción, Express. La Tabla 10.8 lista las tecnologías con la versión instalada y su uso.</w:t>
      </w:r>
    </w:p>
    <w:p>
      <w:pPr/>
      <w:r>
        <w:rPr>
          <w:b/>
        </w:rPr>
        <w:t xml:space="preserve">Tabla 10.8</w:t>
      </w:r>
    </w:p>
    <w:p>
      <w:pPr/>
      <w:r>
        <w:rPr>
          <w:i/>
        </w:rPr>
        <w:t xml:space="preserve">Tecnologías y librerías utilizadas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2"/>
        <w:gridCol w:w="1729"/>
        <w:gridCol w:w="4744"/>
      </w:tblGrid>
      <w:tr>
        <w:trPr>
          <w:tblHeader/>
        </w:trPr>
        <w:tc>
          <w:tcPr>
            <w:tcW w:w="2552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1729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4744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TypeScript</w:t>
            </w:r>
          </w:p>
        </w:tc>
        <w:tc>
          <w:tcPr>
            <w:tcW w:w="1729" w:type="dxa"/>
          </w:tcPr>
          <w:p>
            <w:pPr/>
            <w:r>
              <w:t xml:space="preserve">6.0</w:t>
            </w:r>
          </w:p>
        </w:tc>
        <w:tc>
          <w:tcPr>
            <w:tcW w:w="4744" w:type="dxa"/>
          </w:tcPr>
          <w:p>
            <w:pPr/>
            <w:r>
              <w:t xml:space="preserve">Lenguaje del frontend y del backend, con tipado estricto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Angular</w:t>
            </w:r>
          </w:p>
        </w:tc>
        <w:tc>
          <w:tcPr>
            <w:tcW w:w="1729" w:type="dxa"/>
          </w:tcPr>
          <w:p>
            <w:pPr/>
            <w:r>
              <w:t xml:space="preserve">22.2</w:t>
            </w:r>
          </w:p>
        </w:tc>
        <w:tc>
          <w:tcPr>
            <w:tcW w:w="4744" w:type="dxa"/>
          </w:tcPr>
          <w:p>
            <w:pPr/>
            <w:r>
              <w:t xml:space="preserve">SPA: rutas con carga bajo demanda, signals, </w:t>
            </w:r>
            <w:r>
              <w:rPr>
                <w:rStyle w:val="CodeChar"/>
              </w:rPr>
              <w:t xml:space="preserve">httpResource</w:t>
            </w:r>
            <w:r>
              <w:t xml:space="preserve"> y Signal Forms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Node.js</w:t>
            </w:r>
          </w:p>
        </w:tc>
        <w:tc>
          <w:tcPr>
            <w:tcW w:w="1729" w:type="dxa"/>
          </w:tcPr>
          <w:p>
            <w:pPr/>
            <w:r>
              <w:t xml:space="preserve">22.13 o superior</w:t>
            </w:r>
          </w:p>
        </w:tc>
        <w:tc>
          <w:tcPr>
            <w:tcW w:w="4744" w:type="dxa"/>
          </w:tcPr>
          <w:p>
            <w:pPr/>
            <w:r>
              <w:t xml:space="preserve">Entorno del backend; módulos incluidos </w:t>
            </w:r>
            <w:r>
              <w:rPr>
                <w:rStyle w:val="CodeChar"/>
              </w:rPr>
              <w:t xml:space="preserve">node:sqlite</w:t>
            </w:r>
            <w:r>
              <w:t xml:space="preserve"> (base de datos), </w:t>
            </w:r>
            <w:r>
              <w:rPr>
                <w:rStyle w:val="CodeChar"/>
              </w:rPr>
              <w:t xml:space="preserve">node:test</w:t>
            </w:r>
            <w:r>
              <w:t xml:space="preserve"> (pruebas) y </w:t>
            </w:r>
            <w:r>
              <w:rPr>
                <w:rStyle w:val="CodeChar"/>
              </w:rPr>
              <w:t xml:space="preserve">node:crypto</w:t>
            </w:r>
            <w:r>
              <w:t xml:space="preserve"> (identificadores)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Express</w:t>
            </w:r>
          </w:p>
        </w:tc>
        <w:tc>
          <w:tcPr>
            <w:tcW w:w="1729" w:type="dxa"/>
          </w:tcPr>
          <w:p>
            <w:pPr/>
            <w:r>
              <w:t xml:space="preserve">5.3</w:t>
            </w:r>
          </w:p>
        </w:tc>
        <w:tc>
          <w:tcPr>
            <w:tcW w:w="4744" w:type="dxa"/>
          </w:tcPr>
          <w:p>
            <w:pPr/>
            <w:r>
              <w:t xml:space="preserve">API REST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SQLite</w:t>
            </w:r>
          </w:p>
        </w:tc>
        <w:tc>
          <w:tcPr>
            <w:tcW w:w="1729" w:type="dxa"/>
          </w:tcPr>
          <w:p>
            <w:pPr/>
            <w:r>
              <w:t xml:space="preserve">3, incluido en Node.js</w:t>
            </w:r>
          </w:p>
        </w:tc>
        <w:tc>
          <w:tcPr>
            <w:tcW w:w="4744" w:type="dxa"/>
          </w:tcPr>
          <w:p>
            <w:pPr/>
            <w:r>
              <w:t xml:space="preserve">Base de datos relacional en un archivo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OpenAI Responses API</w:t>
            </w:r>
          </w:p>
        </w:tc>
        <w:tc>
          <w:tcPr>
            <w:tcW w:w="1729" w:type="dxa"/>
          </w:tcPr>
          <w:p>
            <w:pPr/>
            <w:r>
              <w:t xml:space="preserve">Modelo </w:t>
            </w:r>
            <w:r>
              <w:rPr>
                <w:rStyle w:val="CodeChar"/>
              </w:rPr>
              <w:t xml:space="preserve">gpt-5-mini</w:t>
            </w:r>
            <w:r>
              <w:t xml:space="preserve"> por defecto, configurable</w:t>
            </w:r>
          </w:p>
        </w:tc>
        <w:tc>
          <w:tcPr>
            <w:tcW w:w="4744" w:type="dxa"/>
          </w:tcPr>
          <w:p>
            <w:pPr/>
            <w:r>
              <w:t xml:space="preserve">Asesor con llamadas a funciones (</w:t>
            </w:r>
            <w:r>
              <w:rPr>
                <w:i/>
              </w:rPr>
              <w:t xml:space="preserve">function calling</w:t>
            </w:r>
            <w:r>
              <w:t xml:space="preserve">), invocado con </w:t>
            </w:r>
            <w:r>
              <w:rPr>
                <w:rStyle w:val="CodeChar"/>
              </w:rPr>
              <w:t xml:space="preserve">fetch</w:t>
            </w:r>
            <w:r>
              <w:t xml:space="preserve">, sin SDK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TypeDoc</w:t>
            </w:r>
          </w:p>
        </w:tc>
        <w:tc>
          <w:tcPr>
            <w:tcW w:w="1729" w:type="dxa"/>
          </w:tcPr>
          <w:p>
            <w:pPr/>
            <w:r>
              <w:t xml:space="preserve">0.28</w:t>
            </w:r>
          </w:p>
        </w:tc>
        <w:tc>
          <w:tcPr>
            <w:tcW w:w="4744" w:type="dxa"/>
          </w:tcPr>
          <w:p>
            <w:pPr/>
            <w:r>
              <w:t xml:space="preserve">Documentación del código a partir de comentarios TSDoc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Playwright</w:t>
            </w:r>
          </w:p>
        </w:tc>
        <w:tc>
          <w:tcPr>
            <w:tcW w:w="1729" w:type="dxa"/>
          </w:tcPr>
          <w:p>
            <w:pPr/>
            <w:r>
              <w:t xml:space="preserve">Preinstalado en el entorno</w:t>
            </w:r>
          </w:p>
        </w:tc>
        <w:tc>
          <w:tcPr>
            <w:tcW w:w="4744" w:type="dxa"/>
          </w:tcPr>
          <w:p>
            <w:pPr/>
            <w:r>
              <w:t xml:space="preserve">Revisión visual y medición de tiempos; no es dependencia del proyecto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Git y GitHub</w:t>
            </w:r>
          </w:p>
        </w:tc>
        <w:tc>
          <w:tcPr>
            <w:tcW w:w="1729" w:type="dxa"/>
          </w:tcPr>
          <w:p>
            <w:pPr/>
            <w:r>
              <w:t xml:space="preserve">—</w:t>
            </w:r>
          </w:p>
        </w:tc>
        <w:tc>
          <w:tcPr>
            <w:tcW w:w="4744" w:type="dxa"/>
          </w:tcPr>
          <w:p>
            <w:pPr/>
            <w:r>
              <w:t xml:space="preserve">Control de versiones</w:t>
            </w:r>
          </w:p>
        </w:tc>
      </w:tr>
    </w:tbl>
    <w:p>
      <w:pPr>
        <w:pStyle w:val="Heading2"/>
      </w:pPr>
      <w:r>
        <w:t xml:space="preserve">10.8 Pruebas y calidad</w:t>
      </w:r>
    </w:p>
    <w:p>
      <w:pPr/>
      <w:r>
        <w:t xml:space="preserve">El comando </w:t>
      </w:r>
      <w:r>
        <w:rPr>
          <w:rStyle w:val="CodeChar"/>
        </w:rPr>
        <w:t xml:space="preserve">npm run api:test</w:t>
      </w:r>
      <w:r>
        <w:t xml:space="preserve"> ejecuta 18 pruebas automatizadas que pasan en su totalidad; usan un proveedor de IA simulado, por lo que no tienen costo. La Tabla 10.9 las agrupa por área.</w:t>
      </w:r>
    </w:p>
    <w:p>
      <w:pPr/>
      <w:r>
        <w:rPr>
          <w:b/>
        </w:rPr>
        <w:t xml:space="preserve">Tabla 10.9</w:t>
      </w:r>
    </w:p>
    <w:p>
      <w:pPr/>
      <w:r>
        <w:rPr>
          <w:i/>
        </w:rPr>
        <w:t xml:space="preserve">Pruebas automatizadas por área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64"/>
        <w:gridCol w:w="1097"/>
        <w:gridCol w:w="5062"/>
      </w:tblGrid>
      <w:tr>
        <w:trPr>
          <w:tblHeader/>
        </w:trPr>
        <w:tc>
          <w:tcPr>
            <w:tcW w:w="2864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1097" w:type="dxa"/>
            <w:shd w:val="clear" w:color="auto" w:fill="F2F2F2"/>
          </w:tcPr>
          <w:p>
            <w:pPr/>
            <w:r>
              <w:t xml:space="preserve">Pruebas</w:t>
            </w:r>
          </w:p>
        </w:tc>
        <w:tc>
          <w:tcPr>
            <w:tcW w:w="5062" w:type="dxa"/>
            <w:shd w:val="clear" w:color="auto" w:fill="F2F2F2"/>
          </w:tcPr>
          <w:p>
            <w:pPr/>
            <w:r>
              <w:t xml:space="preserve">Qué verifican</w:t>
            </w:r>
          </w:p>
        </w:tc>
      </w:tr>
      <w:tr>
        <w:tc>
          <w:tcPr>
            <w:tcW w:w="2864" w:type="dxa"/>
          </w:tcPr>
          <w:p>
            <w:pPr/>
            <w:r>
              <w:t xml:space="preserve">Base de datos</w:t>
            </w:r>
          </w:p>
        </w:tc>
        <w:tc>
          <w:tcPr>
            <w:tcW w:w="1097" w:type="dxa"/>
          </w:tcPr>
          <w:p>
            <w:pPr/>
            <w:r>
              <w:t xml:space="preserve">3</w:t>
            </w:r>
          </w:p>
        </w:tc>
        <w:tc>
          <w:tcPr>
            <w:tcW w:w="5062" w:type="dxa"/>
          </w:tcPr>
          <w:p>
            <w:pPr/>
            <w:r>
              <w:t xml:space="preserve">La base devuelve el catálogo inicial sin cambios; un componente desactivado sale del catálogo y oculta sus equipos base; una factura sin RUC es rechazada</w:t>
            </w:r>
          </w:p>
        </w:tc>
      </w:tr>
      <w:tr>
        <w:tc>
          <w:tcPr>
            <w:tcW w:w="2864" w:type="dxa"/>
          </w:tcPr>
          <w:p>
            <w:pPr/>
            <w:r>
              <w:t xml:space="preserve">Motor de compatibilidad</w:t>
            </w:r>
          </w:p>
        </w:tc>
        <w:tc>
          <w:tcPr>
            <w:tcW w:w="1097" w:type="dxa"/>
          </w:tcPr>
          <w:p>
            <w:pPr/>
            <w:r>
              <w:t xml:space="preserve">9</w:t>
            </w:r>
          </w:p>
        </w:tc>
        <w:tc>
          <w:tcPr>
            <w:tcW w:w="5062" w:type="dxa"/>
          </w:tcPr>
          <w:p>
            <w:pPr/>
            <w:r>
              <w:t xml:space="preserve">Equipos base válidos y recomendados; especificaciones completas por categoría; socket y memoria; formato, largo de GPU y altura del cooler; potencia; GPU opcional con gráficos integrados; configuración incompleta; uso y presupuesto; conflictos por producto</w:t>
            </w:r>
          </w:p>
        </w:tc>
      </w:tr>
      <w:tr>
        <w:tc>
          <w:tcPr>
            <w:tcW w:w="2864" w:type="dxa"/>
          </w:tcPr>
          <w:p>
            <w:pPr/>
            <w:r>
              <w:t xml:space="preserve">API y pedidos</w:t>
            </w:r>
          </w:p>
        </w:tc>
        <w:tc>
          <w:tcPr>
            <w:tcW w:w="1097" w:type="dxa"/>
          </w:tcPr>
          <w:p>
            <w:pPr/>
            <w:r>
              <w:t xml:space="preserve">3</w:t>
            </w:r>
          </w:p>
        </w:tc>
        <w:tc>
          <w:tcPr>
            <w:tcW w:w="5062" w:type="dxa"/>
          </w:tcPr>
          <w:p>
            <w:pPr/>
            <w:r>
              <w:t xml:space="preserve">Catálogo, equipos y validación de entrada; pedidos que se revalidan, guardan y avanzan; pedidos que se conservan al reabrir la base</w:t>
            </w:r>
          </w:p>
        </w:tc>
      </w:tr>
      <w:tr>
        <w:tc>
          <w:tcPr>
            <w:tcW w:w="2864" w:type="dxa"/>
          </w:tcPr>
          <w:p>
            <w:pPr/>
            <w:r>
              <w:t xml:space="preserve">Asesor</w:t>
            </w:r>
          </w:p>
        </w:tc>
        <w:tc>
          <w:tcPr>
            <w:tcW w:w="1097" w:type="dxa"/>
          </w:tcPr>
          <w:p>
            <w:pPr/>
            <w:r>
              <w:t xml:space="preserve">3</w:t>
            </w:r>
          </w:p>
        </w:tc>
        <w:tc>
          <w:tcPr>
            <w:tcW w:w="5062" w:type="dxa"/>
          </w:tcPr>
          <w:p>
            <w:pPr/>
            <w:r>
              <w:t xml:space="preserve">Ciclo de herramientas con el catálogo real; búsqueda sin filtrar por uso; manejo de errores de herramienta y de falta de clave</w:t>
            </w:r>
          </w:p>
        </w:tc>
      </w:tr>
    </w:tbl>
    <w:p>
      <w:pPr/>
      <w:r>
        <w:t xml:space="preserve">Además, </w:t>
      </w:r>
      <w:r>
        <w:rPr>
          <w:rStyle w:val="CodeChar"/>
        </w:rPr>
        <w:t xml:space="preserve">npm run api:test:live</w:t>
      </w:r>
      <w:r>
        <w:t xml:space="preserve"> ejecuta una conversación de 3 turnos con el modelo real. Comprueba que el asesor pida los datos que faltan, proponga un equipo válido dentro del presupuesto y rechace un cambio incompatible.</w:t>
      </w:r>
    </w:p>
    <w:p>
      <w:pPr/>
      <w:r>
        <w:t xml:space="preserve">Los tiempos de respuesta (RNF-01) se midieron con Playwright sobre la compilación de producción servida con compresión gzip. Todos cumplen la meta (Tabla 10.10).</w:t>
      </w:r>
    </w:p>
    <w:p>
      <w:pPr/>
      <w:r>
        <w:rPr>
          <w:b/>
        </w:rPr>
        <w:t xml:space="preserve">Tabla 10.10</w:t>
      </w:r>
    </w:p>
    <w:p>
      <w:pPr/>
      <w:r>
        <w:rPr>
          <w:i/>
        </w:rPr>
        <w:t xml:space="preserve">Tiempos medidos frente a la meta del RNF-01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26"/>
        <w:gridCol w:w="3127"/>
        <w:gridCol w:w="869"/>
      </w:tblGrid>
      <w:tr>
        <w:trPr>
          <w:tblHeader/>
        </w:trPr>
        <w:tc>
          <w:tcPr>
            <w:tcW w:w="5026" w:type="dxa"/>
            <w:shd w:val="clear" w:color="auto" w:fill="F2F2F2"/>
          </w:tcPr>
          <w:p>
            <w:pPr/>
            <w:r>
              <w:t xml:space="preserve">Medición</w:t>
            </w:r>
          </w:p>
        </w:tc>
        <w:tc>
          <w:tcPr>
            <w:tcW w:w="3127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Meta</w:t>
            </w:r>
          </w:p>
        </w:tc>
      </w:tr>
      <w:tr>
        <w:tc>
          <w:tcPr>
            <w:tcW w:w="5026" w:type="dxa"/>
          </w:tcPr>
          <w:p>
            <w:pPr/>
            <w:r>
              <w:t xml:space="preserve">Validación en la API (200 peticiones)</w:t>
            </w:r>
          </w:p>
        </w:tc>
        <w:tc>
          <w:tcPr>
            <w:tcW w:w="3127" w:type="dxa"/>
          </w:tcPr>
          <w:p>
            <w:pPr/>
            <w:r>
              <w:t xml:space="preserve">p50 de 3 ms y p95 de 6 ms</w:t>
            </w:r>
          </w:p>
        </w:tc>
        <w:tc>
          <w:tcPr>
            <w:tcW w:w="869" w:type="dxa"/>
          </w:tcPr>
          <w:p>
            <w:pPr/>
            <w:r>
              <w:t xml:space="preserve">≤ 1 s</w:t>
            </w:r>
          </w:p>
        </w:tc>
      </w:tr>
      <w:tr>
        <w:tc>
          <w:tcPr>
            <w:tcW w:w="5026" w:type="dxa"/>
          </w:tcPr>
          <w:p>
            <w:pPr/>
            <w:r>
              <w:t xml:space="preserve">Cambio de pieza hasta ver el resultado en pantalla</w:t>
            </w:r>
          </w:p>
        </w:tc>
        <w:tc>
          <w:tcPr>
            <w:tcW w:w="3127" w:type="dxa"/>
          </w:tcPr>
          <w:p>
            <w:pPr/>
            <w:r>
              <w:t xml:space="preserve">≈ 70 ms</w:t>
            </w:r>
          </w:p>
        </w:tc>
        <w:tc>
          <w:tcPr>
            <w:tcW w:w="869" w:type="dxa"/>
          </w:tcPr>
          <w:p>
            <w:pPr/>
            <w:r>
              <w:t xml:space="preserve">≤ 1 s</w:t>
            </w:r>
          </w:p>
        </w:tc>
      </w:tr>
      <w:tr>
        <w:tc>
          <w:tcPr>
            <w:tcW w:w="5026" w:type="dxa"/>
          </w:tcPr>
          <w:p>
            <w:pPr/>
            <w:r>
              <w:t xml:space="preserve">Carga de cada página, red sin limitar</w:t>
            </w:r>
          </w:p>
        </w:tc>
        <w:tc>
          <w:tcPr>
            <w:tcW w:w="3127" w:type="dxa"/>
          </w:tcPr>
          <w:p>
            <w:pPr/>
            <w:r>
              <w:t xml:space="preserve">≈ 0,3 s</w:t>
            </w:r>
          </w:p>
        </w:tc>
        <w:tc>
          <w:tcPr>
            <w:tcW w:w="869" w:type="dxa"/>
          </w:tcPr>
          <w:p>
            <w:pPr/>
            <w:r>
              <w:t xml:space="preserve">≤ 3 s</w:t>
            </w:r>
          </w:p>
        </w:tc>
      </w:tr>
      <w:tr>
        <w:tc>
          <w:tcPr>
            <w:tcW w:w="5026" w:type="dxa"/>
          </w:tcPr>
          <w:p>
            <w:pPr/>
            <w:r>
              <w:t xml:space="preserve">Carga de cada página, red 4G lenta y CPU 4 veces más lenta</w:t>
            </w:r>
          </w:p>
        </w:tc>
        <w:tc>
          <w:tcPr>
            <w:tcW w:w="3127" w:type="dxa"/>
          </w:tcPr>
          <w:p>
            <w:pPr/>
            <w:r>
              <w:t xml:space="preserve">1,9 a 2,3 s</w:t>
            </w:r>
          </w:p>
        </w:tc>
        <w:tc>
          <w:tcPr>
            <w:tcW w:w="869" w:type="dxa"/>
          </w:tcPr>
          <w:p>
            <w:pPr/>
            <w:r>
              <w:t xml:space="preserve">≤ 3 s</w:t>
            </w:r>
          </w:p>
        </w:tc>
      </w:tr>
    </w:tbl>
    <w:p>
      <w:pPr/>
      <w:r>
        <w:t xml:space="preserve">Queda pendiente la evaluación del asesor con unos 20 casos y una rúbrica (RNF-19), prevista para la semana 14.</w:t>
      </w:r>
    </w:p>
    <w:p>
      <w:pPr>
        <w:pStyle w:val="Heading2"/>
      </w:pPr>
      <w:r>
        <w:t xml:space="preserve">10.9 Avance del desarrollo</w:t>
      </w:r>
    </w:p>
    <w:p>
      <w:pPr/>
      <w:r>
        <w:t xml:space="preserve">A la semana 12 están implementados 26 de los 33 requerimientos funcionales (79 %), lo que cumple el hito H4a, núcleo funcional. La Tabla 10.11 detalla el avance por objetivo específico.</w:t>
      </w:r>
    </w:p>
    <w:p>
      <w:pPr/>
      <w:r>
        <w:rPr>
          <w:b/>
        </w:rPr>
        <w:t xml:space="preserve">Tabla 10.11</w:t>
      </w:r>
    </w:p>
    <w:p>
      <w:pPr/>
      <w:r>
        <w:rPr>
          <w:i/>
        </w:rPr>
        <w:t xml:space="preserve">Requerimientos funcionales implementados por objetivo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8"/>
        <w:gridCol w:w="4334"/>
        <w:gridCol w:w="2212"/>
      </w:tblGrid>
      <w:tr>
        <w:trPr>
          <w:tblHeader/>
        </w:trPr>
        <w:tc>
          <w:tcPr>
            <w:tcW w:w="2478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4334" w:type="dxa"/>
            <w:shd w:val="clear" w:color="auto" w:fill="F2F2F2"/>
          </w:tcPr>
          <w:p>
            <w:pPr/>
            <w:r>
              <w:t xml:space="preserve">Requerimientos</w:t>
            </w:r>
          </w:p>
        </w:tc>
        <w:tc>
          <w:tcPr>
            <w:tcW w:w="2212" w:type="dxa"/>
            <w:shd w:val="clear" w:color="auto" w:fill="F2F2F2"/>
          </w:tcPr>
          <w:p>
            <w:pPr/>
            <w:r>
              <w:t xml:space="preserve">Implementados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OE1 Catálogo</w:t>
            </w:r>
          </w:p>
        </w:tc>
        <w:tc>
          <w:tcPr>
            <w:tcW w:w="4334" w:type="dxa"/>
          </w:tcPr>
          <w:p>
            <w:pPr/>
            <w:r>
              <w:t xml:space="preserve">RF-01 a RF-04, RF-32 y RF-33</w:t>
            </w:r>
          </w:p>
        </w:tc>
        <w:tc>
          <w:tcPr>
            <w:tcW w:w="2212" w:type="dxa"/>
          </w:tcPr>
          <w:p>
            <w:pPr/>
            <w:r>
              <w:t xml:space="preserve">4 de 6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OE2 Configurador</w:t>
            </w:r>
          </w:p>
        </w:tc>
        <w:tc>
          <w:tcPr>
            <w:tcW w:w="4334" w:type="dxa"/>
          </w:tcPr>
          <w:p>
            <w:pPr/>
            <w:r>
              <w:t xml:space="preserve">RF-05 a RF-14</w:t>
            </w:r>
          </w:p>
        </w:tc>
        <w:tc>
          <w:tcPr>
            <w:tcW w:w="2212" w:type="dxa"/>
          </w:tcPr>
          <w:p>
            <w:pPr/>
            <w:r>
              <w:t xml:space="preserve">10 de 10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OE3 Pedidos</w:t>
            </w:r>
          </w:p>
        </w:tc>
        <w:tc>
          <w:tcPr>
            <w:tcW w:w="4334" w:type="dxa"/>
          </w:tcPr>
          <w:p>
            <w:pPr/>
            <w:r>
              <w:t xml:space="preserve">RF-15 a RF-19 y RF-29 a RF-31</w:t>
            </w:r>
          </w:p>
        </w:tc>
        <w:tc>
          <w:tcPr>
            <w:tcW w:w="2212" w:type="dxa"/>
          </w:tcPr>
          <w:p>
            <w:pPr/>
            <w:r>
              <w:t xml:space="preserve">5 de 8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OE4 Experiencia</w:t>
            </w:r>
          </w:p>
        </w:tc>
        <w:tc>
          <w:tcPr>
            <w:tcW w:w="4334" w:type="dxa"/>
          </w:tcPr>
          <w:p>
            <w:pPr/>
            <w:r>
              <w:t xml:space="preserve">RF-20, RF-27 y RF-28</w:t>
            </w:r>
          </w:p>
        </w:tc>
        <w:tc>
          <w:tcPr>
            <w:tcW w:w="2212" w:type="dxa"/>
          </w:tcPr>
          <w:p>
            <w:pPr/>
            <w:r>
              <w:t xml:space="preserve">1 de 3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OE5 Asesor IA</w:t>
            </w:r>
          </w:p>
        </w:tc>
        <w:tc>
          <w:tcPr>
            <w:tcW w:w="4334" w:type="dxa"/>
          </w:tcPr>
          <w:p>
            <w:pPr/>
            <w:r>
              <w:t xml:space="preserve">RF-21 a RF-26</w:t>
            </w:r>
          </w:p>
        </w:tc>
        <w:tc>
          <w:tcPr>
            <w:tcW w:w="2212" w:type="dxa"/>
          </w:tcPr>
          <w:p>
            <w:pPr/>
            <w:r>
              <w:t xml:space="preserve">6 de 6</w:t>
            </w:r>
          </w:p>
        </w:tc>
      </w:tr>
      <w:tr>
        <w:tc>
          <w:tcPr>
            <w:tcW w:w="2478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4334" w:type="dxa"/>
          </w:tcPr>
          <w:p>
            <w:pPr/>
            <w:r>
              <w:rPr>
                <w:b/>
              </w:rPr>
              <w:t xml:space="preserve">33</w:t>
            </w:r>
          </w:p>
        </w:tc>
        <w:tc>
          <w:tcPr>
            <w:tcW w:w="2212" w:type="dxa"/>
          </w:tcPr>
          <w:p>
            <w:pPr/>
            <w:r>
              <w:rPr>
                <w:b/>
              </w:rPr>
              <w:t xml:space="preserve">26 (79 %)</w:t>
            </w:r>
          </w:p>
        </w:tc>
      </w:tr>
    </w:tbl>
    <w:p>
      <w:pPr/>
      <w:r>
        <w:t xml:space="preserve">Lo implementado cubre el flujo completo de compra: catálogo, configurador con validación, asesor IA, checkout con pago simulado, seguimiento por etapas y persistencia en base de datos. Para la semana 13 (hito H4b) quedan las cuentas y los roles (RF-27 a RF-31), el panel de administración del catálogo (RF-33) y el comparador de componentes (RF-32). En el proyecto completo restan, además, las pruebas finales, la evaluación del asesor y el cierre (hitos H5 y H6).</w:t>
      </w:r>
    </w:p>
    <w:p>
      <w:pPr>
        <w:pStyle w:val="Heading2"/>
      </w:pPr>
      <w:r>
        <w:t xml:space="preserve">10.10 Control de versiones</w:t>
      </w:r>
    </w:p>
    <w:p>
      <w:pPr/>
      <w:r>
        <w:t xml:space="preserve">El proyecto se versiona con Git en un repositorio de GitHub, con </w:t>
      </w:r>
      <w:r>
        <w:rPr>
          <w:rStyle w:val="CodeChar"/>
        </w:rPr>
        <w:t xml:space="preserve">master</w:t>
      </w:r>
      <w:r>
        <w:t xml:space="preserve"> como rama vigente; el historial registra 15 commits entre el 18 y el 27 de octubre de 2026.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Repositorio:</w:t>
      </w:r>
      <w:r>
        <w:t xml:space="preserve"> </w:t>
      </w:r>
      <w:hyperlink r:id="rId3" w:history="1">
        <w:r>
          <w:rPr>
            <w:rStyle w:val="Hyperlink"/>
          </w:rPr>
          <w:t xml:space="preserve">github.com/BenjaIDLC/kamay</w:t>
        </w:r>
      </w:hyperlink>
      <w:r>
        <w:t xml:space="preserve">. Responsable del control de versiones: Benjamin Illescas.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Ramas:</w:t>
      </w:r>
      <w:r>
        <w:t xml:space="preserve"> </w:t>
      </w:r>
      <w:r>
        <w:rPr>
          <w:rStyle w:val="CodeChar"/>
        </w:rPr>
        <w:t xml:space="preserve">master</w:t>
      </w:r>
      <w:r>
        <w:t xml:space="preserve"> contiene la versión vigente. </w:t>
      </w:r>
      <w:r>
        <w:rPr>
          <w:rStyle w:val="CodeChar"/>
        </w:rPr>
        <w:t xml:space="preserve">archivo/motor-15-reglas</w:t>
      </w:r>
      <w:r>
        <w:t xml:space="preserve"> conserva el primer prototipo (motor de 15 reglas y catálogo sintético), descartado por su complejidad. </w:t>
      </w:r>
      <w:r>
        <w:rPr>
          <w:rStyle w:val="CodeChar"/>
        </w:rPr>
        <w:t xml:space="preserve">vilca</w:t>
      </w:r>
      <w:r>
        <w:t xml:space="preserve"> y </w:t>
      </w:r>
      <w:r>
        <w:rPr>
          <w:rStyle w:val="CodeChar"/>
        </w:rPr>
        <w:t xml:space="preserve">medina</w:t>
      </w:r>
      <w:r>
        <w:t xml:space="preserve"> son las ramas personales de los integrantes, sin cambios propios a la fecha.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Convención de commits:</w:t>
      </w:r>
      <w:r>
        <w:t xml:space="preserve"> mensajes cortos en inglés, en minúscula y en imperativo, que describen el cambio (</w:t>
      </w:r>
      <w:r>
        <w:rPr>
          <w:rStyle w:val="CodeChar"/>
        </w:rPr>
        <w:t xml:space="preserve">add …</w:t>
      </w:r>
      <w:r>
        <w:t xml:space="preserve">, </w:t>
      </w:r>
      <w:r>
        <w:rPr>
          <w:rStyle w:val="CodeChar"/>
        </w:rPr>
        <w:t xml:space="preserve">fix …</w:t>
      </w:r>
      <w:r>
        <w:t xml:space="preserve">, </w:t>
      </w:r>
      <w:r>
        <w:rPr>
          <w:rStyle w:val="CodeChar"/>
        </w:rPr>
        <w:t xml:space="preserve">move …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Archivos excluidos</w:t>
      </w:r>
      <w:r>
        <w:t xml:space="preserve"> (</w:t>
      </w:r>
      <w:r>
        <w:rPr>
          <w:rStyle w:val="CodeChar"/>
        </w:rPr>
        <w:t xml:space="preserve">.gitignore</w:t>
      </w:r>
      <w:r>
        <w:t xml:space="preserve">): dependencias, compilaciones, la base de datos local (</w:t>
      </w:r>
      <w:r>
        <w:rPr>
          <w:rStyle w:val="CodeChar"/>
        </w:rPr>
        <w:t xml:space="preserve">data/</w:t>
      </w:r>
      <w:r>
        <w:t xml:space="preserve">) y el archivo </w:t>
      </w:r>
      <w:r>
        <w:rPr>
          <w:rStyle w:val="CodeChar"/>
        </w:rPr>
        <w:t xml:space="preserve">.env</w:t>
      </w:r>
      <w:r>
        <w:t xml:space="preserve"> con la clave de la API.</w:t>
      </w:r>
    </w:p>
    <w:p>
      <w:pPr/>
      <w:r>
        <w:rPr>
          <w:b/>
        </w:rPr>
        <w:t xml:space="preserve">Tabla 10.12</w:t>
      </w:r>
    </w:p>
    <w:p>
      <w:pPr/>
      <w:r>
        <w:rPr>
          <w:i/>
        </w:rPr>
        <w:t xml:space="preserve">Historial de commits de la rama </w:t>
      </w:r>
      <w:r>
        <w:rPr>
          <w:rStyle w:val="CodeChar"/>
          <w:i/>
        </w:rPr>
        <w:t xml:space="preserve">master</w:t>
      </w:r>
      <w:r>
        <w:rPr>
          <w:i/>
        </w:rPr>
        <w:t xml:space="preserve">, del más reciente al más antiguo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0"/>
        <w:gridCol w:w="1312"/>
        <w:gridCol w:w="5981"/>
      </w:tblGrid>
      <w:tr>
        <w:trPr>
          <w:tblHeader/>
        </w:trPr>
        <w:tc>
          <w:tcPr>
            <w:tcW w:w="1730" w:type="dxa"/>
            <w:shd w:val="clear" w:color="auto" w:fill="F2F2F2"/>
          </w:tcPr>
          <w:p>
            <w:pPr/>
            <w:r>
              <w:t xml:space="preserve">Fecha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t xml:space="preserve">Commit</w:t>
            </w:r>
          </w:p>
        </w:tc>
        <w:tc>
          <w:tcPr>
            <w:tcW w:w="5981" w:type="dxa"/>
            <w:shd w:val="clear" w:color="auto" w:fill="F2F2F2"/>
          </w:tcPr>
          <w:p>
            <w:pPr/>
            <w:r>
              <w:t xml:space="preserve">Cambio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27/10/2026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e61c2a8</w:t>
            </w:r>
          </w:p>
        </w:tc>
        <w:tc>
          <w:tcPr>
            <w:tcW w:w="5981" w:type="dxa"/>
          </w:tcPr>
          <w:p>
            <w:pPr/>
            <w:r>
              <w:t xml:space="preserve">add report chapter on the apf3 build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27/10/2026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4f2d0e2</w:t>
            </w:r>
          </w:p>
        </w:tc>
        <w:tc>
          <w:tcPr>
            <w:tcW w:w="5981" w:type="dxa"/>
          </w:tcPr>
          <w:p>
            <w:pPr/>
            <w:r>
              <w:t xml:space="preserve">note master-only workflow in claude.md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27/10/2026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4d61e79</w:t>
            </w:r>
          </w:p>
        </w:tc>
        <w:tc>
          <w:tcPr>
            <w:tcW w:w="5981" w:type="dxa"/>
          </w:tcPr>
          <w:p>
            <w:pPr/>
            <w:r>
              <w:t xml:space="preserve">move catalog and orders to sqlite with repositories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27/10/2026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ea20c2f</w:t>
            </w:r>
          </w:p>
        </w:tc>
        <w:tc>
          <w:tcPr>
            <w:tcW w:w="5981" w:type="dxa"/>
          </w:tcPr>
          <w:p>
            <w:pPr/>
            <w:r>
              <w:t xml:space="preserve">show igv-included prices and offer configurator when the advisor fails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26/10/2026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0601f8e</w:t>
            </w:r>
          </w:p>
        </w:tc>
        <w:tc>
          <w:tcPr>
            <w:tcW w:w="5981" w:type="dxa"/>
          </w:tcPr>
          <w:p>
            <w:pPr/>
            <w:r>
              <w:t xml:space="preserve">add tsdoc comments and typedoc generation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21/10/2026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c12daff</w:t>
            </w:r>
          </w:p>
        </w:tc>
        <w:tc>
          <w:tcPr>
            <w:tcW w:w="5981" w:type="dxa"/>
          </w:tcPr>
          <w:p>
            <w:pPr/>
            <w:r>
              <w:t xml:space="preserve">condense presentation script to 5 minutes around the advisor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19/10/2026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7067140</w:t>
            </w:r>
          </w:p>
        </w:tc>
        <w:tc>
          <w:tcPr>
            <w:tcW w:w="5981" w:type="dxa"/>
          </w:tcPr>
          <w:p>
            <w:pPr/>
            <w:r>
              <w:t xml:space="preserve">add presentation script and note planned database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19/10/2026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a24215c</w:t>
            </w:r>
          </w:p>
        </w:tc>
        <w:tc>
          <w:tcPr>
            <w:tcW w:w="5981" w:type="dxa"/>
          </w:tcPr>
          <w:p>
            <w:pPr/>
            <w:r>
              <w:t xml:space="preserve">update claude.md with preferences and presentation status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19/10/2026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e04ec28</w:t>
            </w:r>
          </w:p>
        </w:tc>
        <w:tc>
          <w:tcPr>
            <w:tcW w:w="5981" w:type="dxa"/>
          </w:tcPr>
          <w:p>
            <w:pPr/>
            <w:r>
              <w:t xml:space="preserve">fix advisor catalog search and proposal context, redesign builds page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19/10/2026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eda0524</w:t>
            </w:r>
          </w:p>
        </w:tc>
        <w:tc>
          <w:tcPr>
            <w:tcW w:w="5981" w:type="dxa"/>
          </w:tcPr>
          <w:p>
            <w:pPr/>
            <w:r>
              <w:t xml:space="preserve">add claude.md with project context and preferences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19/10/2026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cf9da92</w:t>
            </w:r>
          </w:p>
        </w:tc>
        <w:tc>
          <w:tcPr>
            <w:tcW w:w="5981" w:type="dxa"/>
          </w:tcPr>
          <w:p>
            <w:pPr/>
            <w:r>
              <w:t xml:space="preserve">add rotating hero carousel and refresh visual style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19/10/2026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b692fa1</w:t>
            </w:r>
          </w:p>
        </w:tc>
        <w:tc>
          <w:tcPr>
            <w:tcW w:w="5981" w:type="dxa"/>
          </w:tcPr>
          <w:p>
            <w:pPr/>
            <w:r>
              <w:t xml:space="preserve">simplify mvp: real catalog, 8-rule engine, angular frontend and simulated orders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18/10/2026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2b0718e</w:t>
            </w:r>
          </w:p>
        </w:tc>
        <w:tc>
          <w:tcPr>
            <w:tcW w:w="5981" w:type="dxa"/>
          </w:tcPr>
          <w:p>
            <w:pPr/>
            <w:r>
              <w:t xml:space="preserve">document mvp goals and frontend plan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18/10/2026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f7b7909</w:t>
            </w:r>
          </w:p>
        </w:tc>
        <w:tc>
          <w:tcPr>
            <w:tcW w:w="5981" w:type="dxa"/>
          </w:tcPr>
          <w:p>
            <w:pPr/>
            <w:r>
              <w:t xml:space="preserve">add advisory api and compatibility checks</w:t>
            </w:r>
          </w:p>
        </w:tc>
      </w:tr>
      <w:tr>
        <w:tc>
          <w:tcPr>
            <w:tcW w:w="1730" w:type="dxa"/>
          </w:tcPr>
          <w:p>
            <w:pPr/>
            <w:r>
              <w:t xml:space="preserve">18/10/2026</w:t>
            </w:r>
          </w:p>
        </w:tc>
        <w:tc>
          <w:tcPr>
            <w:tcW w:w="1312" w:type="dxa"/>
          </w:tcPr>
          <w:p>
            <w:pPr/>
            <w:r>
              <w:rPr>
                <w:rStyle w:val="CodeChar"/>
              </w:rPr>
              <w:t xml:space="preserve">d2e248d</w:t>
            </w:r>
          </w:p>
        </w:tc>
        <w:tc>
          <w:tcPr>
            <w:tcW w:w="5981" w:type="dxa"/>
          </w:tcPr>
          <w:p>
            <w:pPr/>
            <w:r>
              <w:t xml:space="preserve">initial commit</w:t>
            </w:r>
          </w:p>
        </w:tc>
      </w:tr>
    </w:tbl>
    <w:p>
      <w:pPr>
        <w:pStyle w:val="Heading2"/>
      </w:pPr>
      <w:r>
        <w:t xml:space="preserve">10.11 Documentación del código</w:t>
      </w:r>
    </w:p>
    <w:p>
      <w:pPr/>
      <w:r>
        <w:t xml:space="preserve">El código del backend (</w:t>
      </w:r>
      <w:r>
        <w:rPr>
          <w:rStyle w:val="CodeChar"/>
        </w:rPr>
        <w:t xml:space="preserve">backend/</w:t>
      </w:r>
      <w:r>
        <w:t xml:space="preserve">) y del núcleo del frontend (</w:t>
      </w:r>
      <w:r>
        <w:rPr>
          <w:rStyle w:val="CodeChar"/>
        </w:rPr>
        <w:t xml:space="preserve">src/app/core/</w:t>
      </w:r>
      <w:r>
        <w:t xml:space="preserve">) está documentado con comentarios TSDoc, el equivalente de Javadoc para TypeScript. Cada módulo, clase y función pública describe qué hace, sus parámetros, lo que devuelve y los errores que lanza.</w:t>
      </w:r>
    </w:p>
    <w:p>
      <w:pPr/>
      <w:r>
        <w:t xml:space="preserve">El comando </w:t>
      </w:r>
      <w:r>
        <w:rPr>
          <w:rStyle w:val="CodeChar"/>
        </w:rPr>
        <w:t xml:space="preserve">npm run docs</w:t>
      </w:r>
      <w:r>
        <w:t xml:space="preserve"> genera con TypeDoc la documentación en HTML en la carpeta </w:t>
      </w:r>
      <w:r>
        <w:rPr>
          <w:rStyle w:val="CodeChar"/>
        </w:rPr>
        <w:t xml:space="preserve">dist/docs</w:t>
      </w:r>
      <w:r>
        <w:t xml:space="preserve">, que se adjunta como anexo. El archivo README del repositorio explica la instalación, la ejecución, las pruebas y las rutas de la API.</w:t>
      </w:r>
    </w:p>
    <w:p>
      <w:pPr>
        <w:pStyle w:val="Heading2"/>
      </w:pPr>
      <w:r>
        <w:t xml:space="preserve">Referencias</w:t>
      </w:r>
    </w:p>
    <w:p>
      <w:pPr/>
      <w:r>
        <w:t xml:space="preserve">Beck, K. (2002). </w:t>
      </w:r>
      <w:r>
        <w:rPr>
          <w:i/>
        </w:rPr>
        <w:t xml:space="preserve">Test-driven development: By example</w:t>
      </w:r>
      <w:r>
        <w:t xml:space="preserve">. Addison-Wesley.</w:t>
      </w:r>
    </w:p>
    <w:p>
      <w:pPr/>
      <w:r>
        <w:t xml:space="preserve">Chacon, S., y Straub, B. (2014). </w:t>
      </w:r>
      <w:r>
        <w:rPr>
          <w:i/>
        </w:rPr>
        <w:t xml:space="preserve">Pro Git</w:t>
      </w:r>
      <w:r>
        <w:t xml:space="preserve"> (2.ª ed.). Apress. </w:t>
      </w:r>
      <w:hyperlink r:id="rId8" w:history="1">
        <w:r>
          <w:rPr>
            <w:rStyle w:val="Hyperlink"/>
          </w:rPr>
          <w:t xml:space="preserve">https://git-scm.com/book</w:t>
        </w:r>
      </w:hyperlink>
    </w:p>
    <w:p>
      <w:pPr/>
      <w:r>
        <w:t xml:space="preserve">Fowler, M. (2002). </w:t>
      </w:r>
      <w:r>
        <w:rPr>
          <w:i/>
        </w:rPr>
        <w:t xml:space="preserve">Patterns of enterprise application architecture</w:t>
      </w:r>
      <w:r>
        <w:t xml:space="preserve">. Addison-Wesley.</w:t>
      </w:r>
    </w:p>
    <w:p>
      <w:pPr/>
      <w:r>
        <w:t xml:space="preserve">Google. (s. f.). </w:t>
      </w:r>
      <w:r>
        <w:rPr>
          <w:i/>
        </w:rPr>
        <w:t xml:space="preserve">Angular documentation</w:t>
      </w:r>
      <w:r>
        <w:t xml:space="preserve">. </w:t>
      </w:r>
      <w:hyperlink r:id="rId9" w:history="1">
        <w:r>
          <w:rPr>
            <w:rStyle w:val="Hyperlink"/>
          </w:rPr>
          <w:t xml:space="preserve">https://angular.dev</w:t>
        </w:r>
      </w:hyperlink>
    </w:p>
    <w:p>
      <w:pPr/>
      <w:r>
        <w:t xml:space="preserve">International Organization for Standardization e International Electrotechnical Commission. (2023). </w:t>
      </w:r>
      <w:r>
        <w:rPr>
          <w:i/>
        </w:rPr>
        <w:t xml:space="preserve">Systems and software engineering — Systems and software Quality Requirements and Evaluation (SQuaRE) — Product quality model</w:t>
      </w:r>
      <w:r>
        <w:t xml:space="preserve"> (ISO/IEC 25010:2023).</w:t>
      </w:r>
    </w:p>
    <w:p>
      <w:pPr/>
      <w:r>
        <w:t xml:space="preserve">Martin, R. C. (2017). </w:t>
      </w:r>
      <w:r>
        <w:rPr>
          <w:i/>
        </w:rPr>
        <w:t xml:space="preserve">Clean architecture: A craftsman's guide to software structure and design</w:t>
      </w:r>
      <w:r>
        <w:t xml:space="preserve">. Prentice Hall.</w:t>
      </w:r>
    </w:p>
    <w:p>
      <w:pPr/>
      <w:r>
        <w:t xml:space="preserve">OpenAI. (s. f.). </w:t>
      </w:r>
      <w:r>
        <w:rPr>
          <w:i/>
        </w:rPr>
        <w:t xml:space="preserve">Function calling</w:t>
      </w:r>
      <w:r>
        <w:t xml:space="preserve">. </w:t>
      </w:r>
      <w:hyperlink r:id="rId10" w:history="1">
        <w:r>
          <w:rPr>
            <w:rStyle w:val="Hyperlink"/>
          </w:rPr>
          <w:t xml:space="preserve">https://platform.openai.com/docs/guides/function-calling</w:t>
        </w:r>
      </w:hyperlink>
    </w:p>
    <w:p>
      <w:pPr/>
      <w:r>
        <w:t xml:space="preserve">OpenJS Foundation. (s. f.-a). </w:t>
      </w:r>
      <w:r>
        <w:rPr>
          <w:i/>
        </w:rPr>
        <w:t xml:space="preserve">Express 5.x API reference</w:t>
      </w:r>
      <w:r>
        <w:t xml:space="preserve">. </w:t>
      </w:r>
      <w:hyperlink r:id="rId11" w:history="1">
        <w:r>
          <w:rPr>
            <w:rStyle w:val="Hyperlink"/>
          </w:rPr>
          <w:t xml:space="preserve">https://expressjs.com/en/5x/api.html</w:t>
        </w:r>
      </w:hyperlink>
    </w:p>
    <w:p>
      <w:pPr/>
      <w:r>
        <w:t xml:space="preserve">OpenJS Foundation. (s. f.-b). </w:t>
      </w:r>
      <w:r>
        <w:rPr>
          <w:i/>
        </w:rPr>
        <w:t xml:space="preserve">Node.js documentation: SQLite</w:t>
      </w:r>
      <w:r>
        <w:t xml:space="preserve">. </w:t>
      </w:r>
      <w:hyperlink r:id="rId12" w:history="1">
        <w:r>
          <w:rPr>
            <w:rStyle w:val="Hyperlink"/>
          </w:rPr>
          <w:t xml:space="preserve">https://nodejs.org/api/sqlite.html</w:t>
        </w:r>
      </w:hyperlink>
    </w:p>
    <w:p>
      <w:pPr/>
      <w:r>
        <w:t xml:space="preserve">OWASP Foundation. (2021). </w:t>
      </w:r>
      <w:r>
        <w:rPr>
          <w:i/>
        </w:rPr>
        <w:t xml:space="preserve">OWASP Top 10:2021</w:t>
      </w:r>
      <w:r>
        <w:t xml:space="preserve">. </w:t>
      </w:r>
      <w:hyperlink r:id="rId13" w:history="1">
        <w:r>
          <w:rPr>
            <w:rStyle w:val="Hyperlink"/>
          </w:rPr>
          <w:t xml:space="preserve">https://owasp.org/Top10/</w:t>
        </w:r>
      </w:hyperlink>
    </w:p>
    <w:p>
      <w:pPr/>
      <w:r>
        <w:t xml:space="preserve">SQLite. (s. f.). </w:t>
      </w:r>
      <w:r>
        <w:rPr>
          <w:i/>
        </w:rPr>
        <w:t xml:space="preserve">SQLite documentation</w:t>
      </w:r>
      <w:r>
        <w:t xml:space="preserve">. </w:t>
      </w:r>
      <w:hyperlink r:id="rId14" w:history="1">
        <w:r>
          <w:rPr>
            <w:rStyle w:val="Hyperlink"/>
          </w:rPr>
          <w:t xml:space="preserve">https://www.sqlite.org/docs.html</w:t>
        </w:r>
      </w:hyperlink>
    </w:p>
    <w:p>
      <w:pPr/>
      <w:r>
        <w:t xml:space="preserve">World Wide Web Consortium. (2018). </w:t>
      </w:r>
      <w:r>
        <w:rPr>
          <w:i/>
        </w:rPr>
        <w:t xml:space="preserve">Web Content Accessibility Guidelines (WCAG) 2.1</w:t>
      </w:r>
      <w:r>
        <w:t xml:space="preserve">. </w:t>
      </w:r>
      <w:hyperlink r:id="rId15" w:history="1">
        <w:r>
          <w:rPr>
            <w:rStyle w:val="Hyperlink"/>
          </w:rPr>
          <w:t xml:space="preserve">https://www.w3.org/TR/WCAG21/</w:t>
        </w:r>
      </w:hyperlink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s-PE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4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24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360" w:lineRule="auto"/>
      <w:contextualSpacing/>
    </w:pPr>
    <w:rPr>
      <w:rFonts w:ascii="Arial" w:hAnsi="Arial" w:eastAsia="Arial" w:cs="Arial"/>
      <w:sz w:val="24"/>
    </w:rPr>
  </w:style>
  <w:style w:type="character" w:styleId="CodeChar">
    <w:name w:val="Code Char"/>
    <w:link w:val="Code"/>
    <w:rPr>
      <w:rFonts w:ascii="Arial" w:hAnsi="Arial" w:eastAsia="Arial" w:cs="Arial"/>
      <w:sz w:val="24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360" w:lineRule="auto"/>
    </w:pPr>
    <w:rPr>
      <w:sz w:val="24"/>
      <w:szCs w:val="24"/>
    </w:rPr>
  </w:style>
  <w:style w:type="character" w:styleId="CommentReference">
    <w:name w:val="annotation reference"/>
    <w:rPr>
      <w:sz w:val="24"/>
      <w:szCs w:val="24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BenjaIDLC/kamay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git-scm.com/book" TargetMode="External"/><Relationship Id="rId9" Type="http://schemas.openxmlformats.org/officeDocument/2006/relationships/hyperlink" Target="https://angular.dev" TargetMode="External"/><Relationship Id="rId10" Type="http://schemas.openxmlformats.org/officeDocument/2006/relationships/hyperlink" Target="https://platform.openai.com/docs/guides/function-calling" TargetMode="External"/><Relationship Id="rId11" Type="http://schemas.openxmlformats.org/officeDocument/2006/relationships/hyperlink" Target="https://expressjs.com/en/5x/api.html" TargetMode="External"/><Relationship Id="rId12" Type="http://schemas.openxmlformats.org/officeDocument/2006/relationships/hyperlink" Target="https://nodejs.org/api/sqlite.html" TargetMode="External"/><Relationship Id="rId13" Type="http://schemas.openxmlformats.org/officeDocument/2006/relationships/hyperlink" Target="https://owasp.org/Top10/" TargetMode="External"/><Relationship Id="rId14" Type="http://schemas.openxmlformats.org/officeDocument/2006/relationships/hyperlink" Target="https://www.sqlite.org/docs.html" TargetMode="External"/><Relationship Id="rId15" Type="http://schemas.openxmlformats.org/officeDocument/2006/relationships/hyperlink" Target="https://www.w3.org/TR/WCAG21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Capítulo 10. Construcción de la solución (Avance 3)</dc:title>
  <dc:description>Claude Docs node/7ec0a228-34c1@17 docx-w7</dc:description>
  <cp:revision>17</cp:revision>
</cp:coreProperties>
</file>