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GT Motion</w:t>
        <w:br/>
        <w:t>Codex Handover</w:t>
      </w:r>
    </w:p>
    <w:p>
      <w:pPr>
        <w:pStyle w:val="Subtitle"/>
      </w:pPr>
      <w:r>
        <w:t>Context, decisions, implementation status and working guidance for continuing the framework</w:t>
      </w:r>
    </w:p>
    <w:tbl>
      <w:tblPr>
        <w:tblW w:type="auto" w:w="0"/>
        <w:jc w:val="center"/>
        <w:tblLook w:firstColumn="1" w:firstRow="1" w:lastColumn="0" w:lastRow="0" w:noHBand="0" w:noVBand="1" w:val="04A0"/>
      </w:tblPr>
      <w:tblGrid>
        <w:gridCol w:w="10166"/>
      </w:tblGrid>
      <w:tr>
        <w:tc>
          <w:tcPr>
            <w:tcW w:type="dxa" w:w="10166"/>
            <w:shd w:fill="EAF2F8"/>
          </w:tcPr>
          <w:p>
            <w:r>
              <w:rPr>
                <w:b/>
                <w:sz w:val="20"/>
              </w:rPr>
              <w:t>How to treat the accompanying documents</w:t>
            </w:r>
          </w:p>
          <w:p>
            <w:pPr>
              <w:spacing w:after="0"/>
            </w:pPr>
            <w:r>
              <w:t>The Technical Specification and Features, Usage and Examples documents describe the current ideals, vocabulary and intended direction. They are design hints and review aids, not a frozen contract. Treat source and executable examples as truth. Revisit the documents whenever implementation reveals a cleaner GT/Bloc/Brick-native design.</w:t>
            </w:r>
          </w:p>
        </w:tc>
      </w:tr>
    </w:tbl>
    <w:p>
      <w:pPr/>
      <w:r>
        <w:t>Accompanying documents:</w:t>
        <w:br/>
        <w:t>• GT-Motion-Technical-Specification-Base-v1.1.docx</w:t>
        <w:br/>
        <w:t>• GT-Motion-Features-Usage-and-Examples-Base-v1.1.docx</w:t>
      </w:r>
    </w:p>
    <w:p>
      <w:pPr>
        <w:pStyle w:val="Heading1"/>
      </w:pPr>
      <w:r>
        <w:t>Implementation Update — 16 July 2026</w:t>
      </w:r>
    </w:p>
    <w:p>
      <w:pPr/>
      <w:r>
        <w:t>Naming checkpoint — 16 July 2026: CFMotion is the live running Motion; CFMotionState is its lifecycle state. The existing CFMotionEffectRecipe, CFMotionEffects and CFMotionAptitude vocabulary remains provisional and must not be extended or treated as the final public model until its role and name are agreed.</w:t>
      </w:r>
    </w:p>
    <w:p>
      <w:pPr/>
      <w:r>
        <w:t>This section is the current handover. It supersedes earlier prototype-status statements and any aspirational API claim that conflicts with the live Foundation source or its green executable examples.</w:t>
      </w:r>
    </w:p>
    <w:p>
      <w:pPr>
        <w:pStyle w:val="Heading2"/>
      </w:pPr>
      <w:r>
        <w:t>What is implemented now</w:t>
      </w:r>
    </w:p>
    <w:p>
      <w:pPr/>
      <w:r>
        <w:t>Motion now has one operational spine: CFMotion, CFMotionCoordinator, typed tracks and properties, explicit lifecycle state, trace, ownership and cleanup. The Core package also contains geometry snapshots/tracks, layout transactions and next-layout readiness. Effects adds reusable appearance recipes and aptitudes; Examples is the executable specification suite.</w:t>
      </w:r>
    </w:p>
    <w:p>
      <w:pPr/>
      <w:r>
        <w:t>The Configuration Editor is the first real consumer. Preview opacity is Motion-owned; placement translation is a shared CFMotion with CFMotionTranslationTrack instances. Its public inspection points are previewOpacityOperation and placementMotionOperation. Examples have been repeatedly run in GT and reported green through this integration work.</w:t>
      </w:r>
    </w:p>
    <w:p>
      <w:pPr>
        <w:pStyle w:val="Heading2"/>
      </w:pPr>
      <w:r>
        <w:t>Operational lessons that are now contract</w:t>
      </w:r>
    </w:p>
    <w:p>
      <w:pPr>
        <w:pStyle w:val="ListBullet"/>
      </w:pPr>
      <w:r>
        <w:t>A presented property has one Motion owner per subject/property/space. Replacement and retargeting begin from the current presentation, never the original source. Terminal paths release claims, observers, temporary transforms, constraints, overlays and callbacks.</w:t>
      </w:r>
    </w:p>
    <w:p>
      <w:pPr>
        <w:pStyle w:val="ListBullet"/>
      </w:pPr>
      <w:r>
        <w:t>Geometry snapshots are expressed in an explicit coordinate space; Bloc computes authoritative layout. A geometry track presents scale and translation. It is correct for geometric transform motion, but is not a generic substitute for content reveal.</w:t>
      </w:r>
    </w:p>
    <w:p>
      <w:pPr>
        <w:pStyle w:val="ListBullet"/>
      </w:pPr>
      <w:r>
        <w:t>To fade a preview, animate opacity on its compositing container. The preview root must be a single composition layer when its expanded children request their own layers. Do not fade every child: that hides a broken compositing boundary and multiplies alpha.</w:t>
      </w:r>
    </w:p>
    <w:p>
      <w:pPr>
        <w:pStyle w:val="ListBullet"/>
      </w:pPr>
      <w:r>
        <w:t>Equivalent interaction routes must converge on one idempotent terminal state. In the editor, off-canvas drag leave and repeated sidebar drag-over both cancel the same preview presentation once; repeated input must not restart the fade.</w:t>
      </w:r>
    </w:p>
    <w:p>
      <w:pPr>
        <w:pStyle w:val="ListBullet"/>
      </w:pPr>
      <w:r>
        <w:t>Adoption separates logical membership from visual presentation. The overlay owns the temporary visual while source/destination membership is committed; cleanup removes it deterministically.</w:t>
      </w:r>
    </w:p>
    <w:p>
      <w:pPr>
        <w:pStyle w:val="Heading2"/>
      </w:pPr>
      <w:r>
        <w:t>Known remaining work</w:t>
      </w:r>
    </w:p>
    <w:p>
      <w:pPr/>
      <w:r>
        <w:t>The editor is not Motion-exclusive yet. Hover expansion/collapse still uses the earlier CFAnimationCoordinator and BlNumberTransition path because it reveals native-size form content by animating a height constraint with clipping. Replacing it with the existing geometry track would vertically scale text, controls and borders while opening, which is a visual regression.</w:t>
      </w:r>
    </w:p>
    <w:p>
      <w:pPr/>
      <w:r>
        <w:t>The next coherent feature is a Motion-owned vertical-extent/reveal track (for example CFMotionVerticalExtentTrack or a focused layout-reveal operation). It should sample/retain the collapsed extent, drive vExact: during the operation, clip children, await authoritative natural layout through CFMotionNextLayoutReadiness, finish at vFitContent, and compose with opacity under one CFMotion. Once its editor examples are green, delete the matching legacy coordinator path and the unused pointAnimationFrom:to:onStep: helper.</w:t>
      </w:r>
    </w:p>
    <w:p>
      <w:pPr>
        <w:pStyle w:val="Heading2"/>
      </w:pPr>
      <w:r>
        <w:t>Working order for the next session</w:t>
      </w:r>
    </w:p>
    <w:p>
      <w:pPr/>
      <w:r>
        <w:t>1. Add the focused vertical-extent track and executable examples for expand, collapse, retarget and cancellation.  2. Migrate Configuration Editor hover expansion/collapse to that track without changing native-size content rendering.  3. Remove the equivalent legacy editor animation machinery only after the examples and the live Config Editor are green.  4. Keep using the GT inspector/MCP surfaces to inspect operations, tracks, snapshots and ownership while validating the live interaction.</w:t>
      </w:r>
    </w:p>
    <w:p>
      <w:pPr>
        <w:pStyle w:val="Heading1"/>
      </w:pPr>
      <w:r>
        <w:t>1. Mission</w:t>
      </w:r>
    </w:p>
    <w:p>
      <w:pPr/>
      <w:r>
        <w:t>Build a dedicated GT / Bloc / Brick motion framework in BVC Foundation. It must make ordinary animation extremely easy while supporting coordinated layout change, geometry and shape motion, interruption, retargeting, readiness, effects, behaviours, collections, temporal values and deep GT inspection.</w:t>
      </w:r>
    </w:p>
    <w:p>
      <w:pPr/>
      <w:r>
        <w:t>The framework is built from the ground up for GT and is therefore moldable by design. Runtime objects should naturally expose the context needed to understand and adapt behaviour, but the framework should not bury its core purpose under tooling terminology.</w:t>
      </w:r>
    </w:p>
    <w:p>
      <w:pPr/>
      <w:r>
        <w:t>Do not transplant a web, mobile or game animation architecture. External frameworks are references for useful patterns only. The target substrate is BlElement, BlSpace, Bloc pulse/layout/transforms/geometry/rendering, Brick states/wishes/aptitudes, and GT examples/inspectors.</w:t>
      </w:r>
    </w:p>
    <w:p>
      <w:pPr>
        <w:pStyle w:val="Heading1"/>
      </w:pPr>
      <w:r>
        <w:t>2. Non-negotiable working discipline</w:t>
      </w:r>
    </w:p>
    <w:p>
      <w:pPr>
        <w:pStyle w:val="ListBullet"/>
      </w:pPr>
      <w:r>
        <w:t>Treat the latest GTUI and Catalyst Foundation sources as the implementation sources of truth.</w:t>
      </w:r>
    </w:p>
    <w:p>
      <w:pPr>
        <w:pStyle w:val="ListBullet"/>
      </w:pPr>
      <w:r>
        <w:t>Quote and verify exact Bloc, Brick and Foundation protocols before changing behaviour.</w:t>
      </w:r>
    </w:p>
    <w:p>
      <w:pPr>
        <w:pStyle w:val="ListBullet"/>
      </w:pPr>
      <w:r>
        <w:t>Do not invent APIs, constructors, geometry conversions or lifecycle behaviour.</w:t>
      </w:r>
    </w:p>
    <w:p>
      <w:pPr>
        <w:pStyle w:val="ListBullet"/>
      </w:pPr>
      <w:r>
        <w:t>When uncertain, stop and ask rather than writing a plausible patch.</w:t>
      </w:r>
    </w:p>
    <w:p>
      <w:pPr>
        <w:pStyle w:val="ListBullet"/>
      </w:pPr>
      <w:r>
        <w:t>Build isolated executable examples first.</w:t>
      </w:r>
    </w:p>
    <w:p>
      <w:pPr>
        <w:pStyle w:val="ListBullet"/>
      </w:pPr>
      <w:r>
        <w:t>Include retargeting from the beginning.</w:t>
      </w:r>
    </w:p>
    <w:p>
      <w:pPr>
        <w:pStyle w:val="ListBullet"/>
      </w:pPr>
      <w:r>
        <w:t>Fix root causes; do not layer guards over invalid membership, geometry or ownership.</w:t>
      </w:r>
    </w:p>
    <w:p>
      <w:pPr>
        <w:pStyle w:val="ListBullet"/>
      </w:pPr>
      <w:r>
        <w:t>Delete existing Configuration Editor animation machinery only after equivalent Motion behaviour is proven.</w:t>
      </w:r>
    </w:p>
    <w:p>
      <w:pPr>
        <w:pStyle w:val="ListBullet"/>
      </w:pPr>
      <w:r>
        <w:t>Keep packages cohesive and dependency direction clean; never create a package per concept.</w:t>
      </w:r>
    </w:p>
    <w:p>
      <w:pPr>
        <w:pStyle w:val="ListBullet"/>
      </w:pPr>
      <w:r>
        <w:t>Every terminal operation must release all claims, handlers, transforms, constraints, overlays and callbacks.</w:t>
      </w:r>
    </w:p>
    <w:p>
      <w:pPr>
        <w:pStyle w:val="Heading1"/>
      </w:pPr>
      <w:r>
        <w:t>3. Settled structural decisions</w:t>
      </w:r>
    </w:p>
    <w:tbl>
      <w:tblPr>
        <w:tblW w:type="auto" w:w="0"/>
        <w:jc w:val="center"/>
        <w:tblLook w:firstColumn="1" w:firstRow="1" w:lastColumn="0" w:lastRow="0" w:noHBand="0" w:noVBand="1" w:val="04A0"/>
      </w:tblPr>
      <w:tblGrid>
        <w:gridCol w:w="5083"/>
        <w:gridCol w:w="5083"/>
      </w:tblGrid>
      <w:tr>
        <w:trPr>
          <w:tblHeader w:val="true"/>
        </w:trPr>
        <w:tc>
          <w:tcPr>
            <w:tcW w:type="dxa" w:w="5083"/>
            <w:shd w:fill="D9E7F5"/>
          </w:tcPr>
          <w:p>
            <w:r/>
            <w:r>
              <w:rPr>
                <w:b/>
                <w:sz w:val="18"/>
              </w:rPr>
              <w:t>Decision</w:t>
            </w:r>
          </w:p>
        </w:tc>
        <w:tc>
          <w:tcPr>
            <w:tcW w:type="dxa" w:w="5083"/>
            <w:shd w:fill="D9E7F5"/>
          </w:tcPr>
          <w:p>
            <w:r/>
            <w:r>
              <w:rPr>
                <w:b/>
                <w:sz w:val="18"/>
              </w:rPr>
              <w:t>Current direction</w:t>
            </w:r>
          </w:p>
        </w:tc>
      </w:tr>
      <w:tr>
        <w:tc>
          <w:tcPr>
            <w:tcW w:type="dxa" w:w="5083"/>
          </w:tcPr>
          <w:p>
            <w:r/>
            <w:r>
              <w:rPr>
                <w:b/>
                <w:sz w:val="18"/>
              </w:rPr>
              <w:t>Packages</w:t>
            </w:r>
          </w:p>
        </w:tc>
        <w:tc>
          <w:tcPr>
            <w:tcW w:type="dxa" w:w="5083"/>
          </w:tcPr>
          <w:p>
            <w:r/>
            <w:r>
              <w:rPr>
                <w:b w:val="0"/>
                <w:sz w:val="18"/>
              </w:rPr>
              <w:t>BVC-Foundation-Motion-Core, BVC-Foundation-Motion-Effects, BVC-Foundation-Motion-Examples.</w:t>
            </w:r>
          </w:p>
        </w:tc>
      </w:tr>
      <w:tr>
        <w:tc>
          <w:tcPr>
            <w:tcW w:type="dxa" w:w="5083"/>
          </w:tcPr>
          <w:p>
            <w:r/>
            <w:r>
              <w:rPr>
                <w:b/>
                <w:sz w:val="18"/>
              </w:rPr>
              <w:t>Class prefix</w:t>
            </w:r>
          </w:p>
        </w:tc>
        <w:tc>
          <w:tcPr>
            <w:tcW w:type="dxa" w:w="5083"/>
          </w:tcPr>
          <w:p>
            <w:r/>
            <w:r>
              <w:rPr>
                <w:b w:val="0"/>
                <w:sz w:val="18"/>
              </w:rPr>
              <w:t>CF. Keep Motion in Foundation for now.</w:t>
            </w:r>
          </w:p>
        </w:tc>
      </w:tr>
      <w:tr>
        <w:tc>
          <w:tcPr>
            <w:tcW w:type="dxa" w:w="5083"/>
          </w:tcPr>
          <w:p>
            <w:r/>
            <w:r>
              <w:rPr>
                <w:b/>
                <w:sz w:val="18"/>
              </w:rPr>
              <w:t>Package boundaries</w:t>
            </w:r>
          </w:p>
        </w:tc>
        <w:tc>
          <w:tcPr>
            <w:tcW w:type="dxa" w:w="5083"/>
          </w:tcPr>
          <w:p>
            <w:r/>
            <w:r>
              <w:rPr>
                <w:b w:val="0"/>
                <w:sz w:val="18"/>
              </w:rPr>
              <w:t>No Motion-Bloc or Motion-Brick packages. Bloc and Brick are substrate, not logical package groups.</w:t>
            </w:r>
          </w:p>
        </w:tc>
      </w:tr>
      <w:tr>
        <w:tc>
          <w:tcPr>
            <w:tcW w:type="dxa" w:w="5083"/>
          </w:tcPr>
          <w:p>
            <w:r/>
            <w:r>
              <w:rPr>
                <w:b/>
                <w:sz w:val="18"/>
              </w:rPr>
              <w:t>Coordinator</w:t>
            </w:r>
          </w:p>
        </w:tc>
        <w:tc>
          <w:tcPr>
            <w:tcW w:type="dxa" w:w="5083"/>
          </w:tcPr>
          <w:p>
            <w:r/>
            <w:r>
              <w:rPr>
                <w:b w:val="0"/>
                <w:sz w:val="18"/>
              </w:rPr>
              <w:t>One coordinator per BlSpace.</w:t>
            </w:r>
          </w:p>
        </w:tc>
      </w:tr>
      <w:tr>
        <w:tc>
          <w:tcPr>
            <w:tcW w:type="dxa" w:w="5083"/>
          </w:tcPr>
          <w:p>
            <w:r/>
            <w:r>
              <w:rPr>
                <w:b/>
                <w:sz w:val="18"/>
              </w:rPr>
              <w:t>Runtime</w:t>
            </w:r>
          </w:p>
        </w:tc>
        <w:tc>
          <w:tcPr>
            <w:tcW w:type="dxa" w:w="5083"/>
          </w:tcPr>
          <w:p>
            <w:r/>
            <w:r>
              <w:rPr>
                <w:b w:val="0"/>
                <w:sz w:val="18"/>
              </w:rPr>
              <w:t>Catalyst Runtime is a future consumer, not a current contributor or dependency.</w:t>
            </w:r>
          </w:p>
        </w:tc>
      </w:tr>
      <w:tr>
        <w:tc>
          <w:tcPr>
            <w:tcW w:type="dxa" w:w="5083"/>
          </w:tcPr>
          <w:p>
            <w:r/>
            <w:r>
              <w:rPr>
                <w:b/>
                <w:sz w:val="18"/>
              </w:rPr>
              <w:t>Examples</w:t>
            </w:r>
          </w:p>
        </w:tc>
        <w:tc>
          <w:tcPr>
            <w:tcW w:type="dxa" w:w="5083"/>
          </w:tcPr>
          <w:p>
            <w:r/>
            <w:r>
              <w:rPr>
                <w:b w:val="0"/>
                <w:sz w:val="18"/>
              </w:rPr>
              <w:t>Build isolated executable examples before integrating the Configuration Editor.</w:t>
            </w:r>
          </w:p>
        </w:tc>
      </w:tr>
      <w:tr>
        <w:tc>
          <w:tcPr>
            <w:tcW w:type="dxa" w:w="5083"/>
          </w:tcPr>
          <w:p>
            <w:r/>
            <w:r>
              <w:rPr>
                <w:b/>
                <w:sz w:val="18"/>
              </w:rPr>
              <w:t>Retargeting</w:t>
            </w:r>
          </w:p>
        </w:tc>
        <w:tc>
          <w:tcPr>
            <w:tcW w:type="dxa" w:w="5083"/>
          </w:tcPr>
          <w:p>
            <w:r/>
            <w:r>
              <w:rPr>
                <w:b w:val="0"/>
                <w:sz w:val="18"/>
              </w:rPr>
              <w:t>Must be supported immediately and must start from current presentation.</w:t>
            </w:r>
          </w:p>
        </w:tc>
      </w:tr>
      <w:tr>
        <w:tc>
          <w:tcPr>
            <w:tcW w:type="dxa" w:w="5083"/>
          </w:tcPr>
          <w:p>
            <w:r/>
            <w:r>
              <w:rPr>
                <w:b/>
                <w:sz w:val="18"/>
              </w:rPr>
              <w:t>Editor migration</w:t>
            </w:r>
          </w:p>
        </w:tc>
        <w:tc>
          <w:tcPr>
            <w:tcW w:type="dxa" w:w="5083"/>
          </w:tcPr>
          <w:p>
            <w:r/>
            <w:r>
              <w:rPr>
                <w:b w:val="0"/>
                <w:sz w:val="18"/>
              </w:rPr>
              <w:t>Delete replaced editor-specific animation machinery once Motion reaches equivalent behaviour.</w:t>
            </w:r>
          </w:p>
        </w:tc>
      </w:tr>
    </w:tbl>
    <w:p>
      <w:pPr>
        <w:pStyle w:val="Heading1"/>
      </w:pPr>
      <w:r>
        <w:t>4. Naming and API principles</w:t>
      </w:r>
    </w:p>
    <w:p>
      <w:pPr/>
      <w:r>
        <w:t>Naming must cleanly state intent, remain at the correct abstraction level and avoid repeating the framework context.</w:t>
      </w:r>
    </w:p>
    <w:tbl>
      <w:tblPr>
        <w:tblW w:type="auto" w:w="0"/>
        <w:jc w:val="center"/>
        <w:tblLook w:firstColumn="1" w:firstRow="1" w:lastColumn="0" w:lastRow="0" w:noHBand="0" w:noVBand="1" w:val="04A0"/>
      </w:tblPr>
      <w:tblGrid>
        <w:gridCol w:w="5083"/>
        <w:gridCol w:w="5083"/>
      </w:tblGrid>
      <w:tr>
        <w:trPr>
          <w:tblHeader w:val="true"/>
        </w:trPr>
        <w:tc>
          <w:tcPr>
            <w:tcW w:type="dxa" w:w="5083"/>
            <w:shd w:fill="D9E7F5"/>
          </w:tcPr>
          <w:p>
            <w:r/>
            <w:r>
              <w:rPr>
                <w:b/>
                <w:sz w:val="18"/>
              </w:rPr>
              <w:t>Principle</w:t>
            </w:r>
          </w:p>
        </w:tc>
        <w:tc>
          <w:tcPr>
            <w:tcW w:type="dxa" w:w="5083"/>
            <w:shd w:fill="D9E7F5"/>
          </w:tcPr>
          <w:p>
            <w:r/>
            <w:r>
              <w:rPr>
                <w:b/>
                <w:sz w:val="18"/>
              </w:rPr>
              <w:t>Example / implication</w:t>
            </w:r>
          </w:p>
        </w:tc>
      </w:tr>
      <w:tr>
        <w:tc>
          <w:tcPr>
            <w:tcW w:type="dxa" w:w="5083"/>
          </w:tcPr>
          <w:p>
            <w:r/>
            <w:r>
              <w:rPr>
                <w:b/>
                <w:sz w:val="18"/>
              </w:rPr>
              <w:t>Properties use ordinary property vocabulary</w:t>
            </w:r>
          </w:p>
        </w:tc>
        <w:tc>
          <w:tcPr>
            <w:tcW w:type="dxa" w:w="5083"/>
          </w:tcPr>
          <w:p>
            <w:r/>
            <w:r>
              <w:rPr>
                <w:b w:val="0"/>
                <w:sz w:val="18"/>
              </w:rPr>
              <w:t>element motion opacity: 0.8. No opacityTo:, animateOpacity: or magic property symbols.</w:t>
            </w:r>
          </w:p>
        </w:tc>
      </w:tr>
      <w:tr>
        <w:tc>
          <w:tcPr>
            <w:tcW w:type="dxa" w:w="5083"/>
          </w:tcPr>
          <w:p>
            <w:r/>
            <w:r>
              <w:rPr>
                <w:b/>
                <w:sz w:val="18"/>
              </w:rPr>
              <w:t>Semantic operations use verbs</w:t>
            </w:r>
          </w:p>
        </w:tc>
        <w:tc>
          <w:tcPr>
            <w:tcW w:type="dxa" w:w="5083"/>
          </w:tcPr>
          <w:p>
            <w:r/>
            <w:r>
              <w:rPr>
                <w:b w:val="0"/>
                <w:sz w:val="18"/>
              </w:rPr>
              <w:t>appear, disappear, expand, collapse, dismiss, return, reorder.</w:t>
            </w:r>
          </w:p>
        </w:tc>
      </w:tr>
      <w:tr>
        <w:tc>
          <w:tcPr>
            <w:tcW w:type="dxa" w:w="5083"/>
          </w:tcPr>
          <w:p>
            <w:r/>
            <w:r>
              <w:rPr>
                <w:b/>
                <w:sz w:val="18"/>
              </w:rPr>
              <w:t>Transaction directives name participating change</w:t>
            </w:r>
          </w:p>
        </w:tc>
        <w:tc>
          <w:tcPr>
            <w:tcW w:type="dxa" w:w="5083"/>
          </w:tcPr>
          <w:p>
            <w:r/>
            <w:r>
              <w:rPr>
                <w:b w:val="0"/>
                <w:sz w:val="18"/>
              </w:rPr>
              <w:t>geometryOf:, resize:, insert:into:at:, remove:, adopt:as:. Do not prefix with animate.</w:t>
            </w:r>
          </w:p>
        </w:tc>
      </w:tr>
      <w:tr>
        <w:tc>
          <w:tcPr>
            <w:tcW w:type="dxa" w:w="5083"/>
          </w:tcPr>
          <w:p>
            <w:r/>
            <w:r>
              <w:rPr>
                <w:b/>
                <w:sz w:val="18"/>
              </w:rPr>
              <w:t>Execution is explicit only when assembly is deferred</w:t>
            </w:r>
          </w:p>
        </w:tc>
        <w:tc>
          <w:tcPr>
            <w:tcW w:type="dxa" w:w="5083"/>
          </w:tcPr>
          <w:p>
            <w:r/>
            <w:r>
              <w:rPr>
                <w:b w:val="0"/>
                <w:sz w:val="18"/>
              </w:rPr>
              <w:t>A multi-message transaction ends with play. A simple property convenience may start immediately.</w:t>
            </w:r>
          </w:p>
        </w:tc>
      </w:tr>
      <w:tr>
        <w:tc>
          <w:tcPr>
            <w:tcW w:type="dxa" w:w="5083"/>
          </w:tcPr>
          <w:p>
            <w:r/>
            <w:r>
              <w:rPr>
                <w:b/>
                <w:sz w:val="18"/>
              </w:rPr>
              <w:t>Opposites are symmetrical</w:t>
            </w:r>
          </w:p>
        </w:tc>
        <w:tc>
          <w:tcPr>
            <w:tcW w:type="dxa" w:w="5083"/>
          </w:tcPr>
          <w:p>
            <w:r/>
            <w:r>
              <w:rPr>
                <w:b w:val="0"/>
                <w:sz w:val="18"/>
              </w:rPr>
              <w:t>fadeIn/fadeOut, scaleAndFadeIn/scaleAndFadeOut, riseAndFadeIn/fallAndFadeOut.</w:t>
            </w:r>
          </w:p>
        </w:tc>
      </w:tr>
      <w:tr>
        <w:tc>
          <w:tcPr>
            <w:tcW w:type="dxa" w:w="5083"/>
          </w:tcPr>
          <w:p>
            <w:r/>
            <w:r>
              <w:rPr>
                <w:b/>
                <w:sz w:val="18"/>
              </w:rPr>
              <w:t>Names describe observable treatment</w:t>
            </w:r>
          </w:p>
        </w:tc>
        <w:tc>
          <w:tcPr>
            <w:tcW w:type="dxa" w:w="5083"/>
          </w:tcPr>
          <w:p>
            <w:r/>
            <w:r>
              <w:rPr>
                <w:b w:val="0"/>
                <w:sz w:val="18"/>
              </w:rPr>
              <w:t>Avoid dramatic names such as beautifulReveal or magicLift.</w:t>
            </w:r>
          </w:p>
        </w:tc>
      </w:tr>
      <w:tr>
        <w:tc>
          <w:tcPr>
            <w:tcW w:type="dxa" w:w="5083"/>
          </w:tcPr>
          <w:p>
            <w:r/>
            <w:r>
              <w:rPr>
                <w:b/>
                <w:sz w:val="18"/>
              </w:rPr>
              <w:t>Complex library effects are first-class</w:t>
            </w:r>
          </w:p>
        </w:tc>
        <w:tc>
          <w:tcPr>
            <w:tcW w:type="dxa" w:w="5083"/>
          </w:tcPr>
          <w:p>
            <w:r/>
            <w:r>
              <w:rPr>
                <w:b w:val="0"/>
                <w:sz w:val="18"/>
              </w:rPr>
              <w:t>Ready-to-use composed effects must be easy to discover and inspect, while being built from smaller typed primitives.</w:t>
            </w:r>
          </w:p>
        </w:tc>
      </w:tr>
    </w:tbl>
    <w:p>
      <w:pPr>
        <w:pStyle w:val="Heading2"/>
      </w:pPr>
      <w:r>
        <w:t>4.1 Effect library levels</w:t>
      </w:r>
    </w:p>
    <w:p>
      <w:pPr/>
      <w:r>
        <w:t>Primitive effects are focused composition units:</w:t>
      </w:r>
    </w:p>
    <w:p>
      <w:pPr>
        <w:pStyle w:val="CodeBlock"/>
      </w:pPr>
      <w:r>
        <w:t>CFMotionEffects fade.</w:t>
        <w:br/>
        <w:t>CFMotionEffects translate.</w:t>
        <w:br/>
        <w:t>CFMotionEffects scale.</w:t>
        <w:br/>
        <w:t>CFMotionEffects blur.</w:t>
        <w:br/>
        <w:t>CFMotionEffects followPath.</w:t>
      </w:r>
    </w:p>
    <w:p>
      <w:pPr/>
      <w:r>
        <w:t>Composed library effects are complete, named recipes:</w:t>
      </w:r>
    </w:p>
    <w:p>
      <w:pPr>
        <w:pStyle w:val="CodeBlock"/>
      </w:pPr>
      <w:r>
        <w:t>CFMotionEffects riseAndFadeIn.</w:t>
        <w:br/>
        <w:t>CFMotionEffects fallAndFadeOut.</w:t>
        <w:br/>
        <w:t>CFMotionEffects scaleAndFadeIn.</w:t>
        <w:br/>
        <w:t>CFMotionEffects scaleAndFadeOut.</w:t>
        <w:br/>
        <w:t>CFMotionEffects flingOut.</w:t>
        <w:br/>
        <w:t>CFMotionEffects springBack.</w:t>
      </w:r>
    </w:p>
    <w:p>
      <w:pPr/>
      <w:r>
        <w:t>The semantic operation owns appearance/disappearance, visibility, insertion/removal and completion. The effect defines the presentation recipe.</w:t>
      </w:r>
    </w:p>
    <w:p>
      <w:pPr>
        <w:pStyle w:val="Heading1"/>
      </w:pPr>
      <w:r>
        <w:t>5. Geometry is foundational</w:t>
      </w:r>
    </w:p>
    <w:p>
      <w:pPr/>
      <w:r>
        <w:t>Geometry motion must be a first-class concept. Height and width are not unrelated special animations; they are constrained views of layout geometry.</w:t>
      </w:r>
    </w:p>
    <w:p>
      <w:pPr>
        <w:pStyle w:val="Heading2"/>
      </w:pPr>
      <w:r>
        <w:t>5.1 Layout geometry</w:t>
      </w:r>
    </w:p>
    <w:p>
      <w:pPr/>
      <w:r>
        <w:t>Layout geometry includes position and extent in one declared coordinate space. Bloc remains authoritative. Motion captures pre-mutation geometry and Bloc-computed post-layout geometry, then presents the transition.</w:t>
      </w:r>
    </w:p>
    <w:p>
      <w:pPr>
        <w:pStyle w:val="CodeBlock"/>
      </w:pPr>
      <w:r>
        <w:t>element motion geometry: destinationBounds.</w:t>
        <w:br/>
        <w:br/>
        <w:t>container motion</w:t>
        <w:br/>
        <w:t xml:space="preserve">    layout;</w:t>
        <w:br/>
        <w:t xml:space="preserve">    affecting: affectedElements;</w:t>
        <w:br/>
        <w:t xml:space="preserve">    mutate: [ panel beExpanded ];</w:t>
        <w:br/>
        <w:t xml:space="preserve">    geometryOf: panel;</w:t>
        <w:br/>
        <w:t xml:space="preserve">    play.</w:t>
      </w:r>
    </w:p>
    <w:p>
      <w:pPr/>
      <w:r>
        <w:t>Focused projections may include:</w:t>
      </w:r>
    </w:p>
    <w:p>
      <w:pPr>
        <w:pStyle w:val="CodeBlock"/>
      </w:pPr>
      <w:r>
        <w:t>transaction positionOf: panel.</w:t>
        <w:br/>
        <w:t>transaction extentOf: panel.</w:t>
        <w:br/>
        <w:t>transaction widthOf: panel.</w:t>
        <w:br/>
        <w:t>transaction heightOf: panel.</w:t>
      </w:r>
    </w:p>
    <w:p>
      <w:pPr/>
      <w:r>
        <w:t>These should all use the same geometry machinery and merely select components. Motion never invents or hard-codes destination dimensions.</w:t>
      </w:r>
    </w:p>
    <w:p>
      <w:pPr>
        <w:pStyle w:val="Heading2"/>
      </w:pPr>
      <w:r>
        <w:t>5.2 Shape geometry</w:t>
      </w:r>
    </w:p>
    <w:p>
      <w:pPr/>
      <w:r>
        <w:t>Rendered shape is related but distinct from layout bounds. Motion must support interpolation of compatible Bloc geometry or shape types without creating a competing geometry model.</w:t>
      </w:r>
    </w:p>
    <w:p>
      <w:pPr>
        <w:pStyle w:val="CodeBlock"/>
      </w:pPr>
      <w:r>
        <w:t>element motion shape: destinationShape.</w:t>
      </w:r>
    </w:p>
    <w:p>
      <w:pPr/>
      <w:r>
        <w:t>Rectangle-to-rounded-rectangle, compatible path morphing and other shape transitions require typed adapters/interpolators. Unsupported pairs should fail clearly rather than performing magical conversion.</w:t>
      </w:r>
    </w:p>
    <w:p>
      <w:pPr>
        <w:pStyle w:val="Heading1"/>
      </w:pPr>
      <w:r>
        <w:t>6. Current implementation status</w:t>
      </w:r>
    </w:p>
    <w:p>
      <w:pPr/>
      <w:r>
        <w:t>An initial Phase 1 prototype was created in the three Motion packages. The examples are currently green after two fixes.</w:t>
      </w:r>
    </w:p>
    <w:tbl>
      <w:tblPr>
        <w:tblW w:type="auto" w:w="0"/>
        <w:jc w:val="center"/>
        <w:tblLook w:firstColumn="1" w:firstRow="1" w:lastColumn="0" w:lastRow="0" w:noHBand="0" w:noVBand="1" w:val="04A0"/>
      </w:tblPr>
      <w:tblGrid>
        <w:gridCol w:w="5083"/>
        <w:gridCol w:w="5083"/>
      </w:tblGrid>
      <w:tr>
        <w:trPr>
          <w:tblHeader w:val="true"/>
        </w:trPr>
        <w:tc>
          <w:tcPr>
            <w:tcW w:type="dxa" w:w="5083"/>
            <w:shd w:fill="D9E7F5"/>
          </w:tcPr>
          <w:p>
            <w:r/>
            <w:r>
              <w:rPr>
                <w:b/>
                <w:sz w:val="18"/>
              </w:rPr>
              <w:t>Area</w:t>
            </w:r>
          </w:p>
        </w:tc>
        <w:tc>
          <w:tcPr>
            <w:tcW w:type="dxa" w:w="5083"/>
            <w:shd w:fill="D9E7F5"/>
          </w:tcPr>
          <w:p>
            <w:r/>
            <w:r>
              <w:rPr>
                <w:b/>
                <w:sz w:val="18"/>
              </w:rPr>
              <w:t>State</w:t>
            </w:r>
          </w:p>
        </w:tc>
      </w:tr>
      <w:tr>
        <w:tc>
          <w:tcPr>
            <w:tcW w:type="dxa" w:w="5083"/>
          </w:tcPr>
          <w:p>
            <w:r/>
            <w:r>
              <w:rPr>
                <w:b/>
                <w:sz w:val="18"/>
              </w:rPr>
              <w:t>CFMotion / CFMotionBuilder</w:t>
            </w:r>
          </w:p>
        </w:tc>
        <w:tc>
          <w:tcPr>
            <w:tcW w:type="dxa" w:w="5083"/>
          </w:tcPr>
          <w:p>
            <w:r/>
            <w:r>
              <w:rPr>
                <w:b w:val="0"/>
                <w:sz w:val="18"/>
              </w:rPr>
              <w:t>Entry and basic builder prototype.</w:t>
            </w:r>
          </w:p>
        </w:tc>
      </w:tr>
      <w:tr>
        <w:tc>
          <w:tcPr>
            <w:tcW w:type="dxa" w:w="5083"/>
          </w:tcPr>
          <w:p>
            <w:r/>
            <w:r>
              <w:rPr>
                <w:b/>
                <w:sz w:val="18"/>
              </w:rPr>
              <w:t>CFMotionCoordinator</w:t>
            </w:r>
          </w:p>
        </w:tc>
        <w:tc>
          <w:tcPr>
            <w:tcW w:type="dxa" w:w="5083"/>
          </w:tcPr>
          <w:p>
            <w:r/>
            <w:r>
              <w:rPr>
                <w:b w:val="0"/>
                <w:sz w:val="18"/>
              </w:rPr>
              <w:t>Per-space ownership prototype using the space/root relationship.</w:t>
            </w:r>
          </w:p>
        </w:tc>
      </w:tr>
      <w:tr>
        <w:tc>
          <w:tcPr>
            <w:tcW w:type="dxa" w:w="5083"/>
          </w:tcPr>
          <w:p>
            <w:r/>
            <w:r>
              <w:rPr>
                <w:b/>
                <w:sz w:val="18"/>
              </w:rPr>
              <w:t>CFMotionProperty / CFOpacityMotionProperty</w:t>
            </w:r>
          </w:p>
        </w:tc>
        <w:tc>
          <w:tcPr>
            <w:tcW w:type="dxa" w:w="5083"/>
          </w:tcPr>
          <w:p>
            <w:r/>
            <w:r>
              <w:rPr>
                <w:b w:val="0"/>
                <w:sz w:val="18"/>
              </w:rPr>
              <w:t>Typed opacity property prototype.</w:t>
            </w:r>
          </w:p>
        </w:tc>
      </w:tr>
      <w:tr>
        <w:tc>
          <w:tcPr>
            <w:tcW w:type="dxa" w:w="5083"/>
          </w:tcPr>
          <w:p>
            <w:r/>
            <w:r>
              <w:rPr>
                <w:b/>
                <w:sz w:val="18"/>
              </w:rPr>
              <w:t>legacy property-motion prototype</w:t>
            </w:r>
          </w:p>
        </w:tc>
        <w:tc>
          <w:tcPr>
            <w:tcW w:type="dxa" w:w="5083"/>
          </w:tcPr>
          <w:p>
            <w:r/>
            <w:r>
              <w:rPr>
                <w:b w:val="0"/>
                <w:sz w:val="18"/>
              </w:rPr>
              <w:t>Opacity execution and retargeting prototype.</w:t>
            </w:r>
          </w:p>
        </w:tc>
      </w:tr>
      <w:tr>
        <w:tc>
          <w:tcPr>
            <w:tcW w:type="dxa" w:w="5083"/>
          </w:tcPr>
          <w:p>
            <w:r/>
            <w:r>
              <w:rPr>
                <w:b/>
                <w:sz w:val="18"/>
              </w:rPr>
              <w:t>CFMotionPropertyKey</w:t>
            </w:r>
          </w:p>
        </w:tc>
        <w:tc>
          <w:tcPr>
            <w:tcW w:type="dxa" w:w="5083"/>
          </w:tcPr>
          <w:p>
            <w:r/>
            <w:r>
              <w:rPr>
                <w:b w:val="0"/>
                <w:sz w:val="18"/>
              </w:rPr>
              <w:t>Subject/property identity with fixed accessors.</w:t>
            </w:r>
          </w:p>
        </w:tc>
      </w:tr>
      <w:tr>
        <w:tc>
          <w:tcPr>
            <w:tcW w:type="dxa" w:w="5083"/>
          </w:tcPr>
          <w:p>
            <w:r/>
            <w:r>
              <w:rPr>
                <w:b/>
                <w:sz w:val="18"/>
              </w:rPr>
              <w:t>CFMotionSnapshot / CFMotionLayoutTransaction</w:t>
            </w:r>
          </w:p>
        </w:tc>
        <w:tc>
          <w:tcPr>
            <w:tcW w:type="dxa" w:w="5083"/>
          </w:tcPr>
          <w:p>
            <w:r/>
            <w:r>
              <w:rPr>
                <w:b w:val="0"/>
                <w:sz w:val="18"/>
              </w:rPr>
              <w:t>Early layout prototype exists but should not be treated as the final architecture.</w:t>
            </w:r>
          </w:p>
        </w:tc>
      </w:tr>
      <w:tr>
        <w:tc>
          <w:tcPr>
            <w:tcW w:type="dxa" w:w="5083"/>
          </w:tcPr>
          <w:p>
            <w:r/>
            <w:r>
              <w:rPr>
                <w:b/>
                <w:sz w:val="18"/>
              </w:rPr>
              <w:t>Effects package</w:t>
            </w:r>
          </w:p>
        </w:tc>
        <w:tc>
          <w:tcPr>
            <w:tcW w:type="dxa" w:w="5083"/>
          </w:tcPr>
          <w:p>
            <w:r/>
            <w:r>
              <w:rPr>
                <w:b w:val="0"/>
                <w:sz w:val="18"/>
              </w:rPr>
              <w:t>Simple fade effect establishes dependency direction only.</w:t>
            </w:r>
          </w:p>
        </w:tc>
      </w:tr>
      <w:tr>
        <w:tc>
          <w:tcPr>
            <w:tcW w:type="dxa" w:w="5083"/>
          </w:tcPr>
          <w:p>
            <w:r/>
            <w:r>
              <w:rPr>
                <w:b/>
                <w:sz w:val="18"/>
              </w:rPr>
              <w:t>Examples</w:t>
            </w:r>
          </w:p>
        </w:tc>
        <w:tc>
          <w:tcPr>
            <w:tcW w:type="dxa" w:w="5083"/>
          </w:tcPr>
          <w:p>
            <w:r/>
            <w:r>
              <w:rPr>
                <w:b w:val="0"/>
                <w:sz w:val="18"/>
              </w:rPr>
              <w:t>Opacity motion, opacity retargeting, fade effect and layout transaction examples; reported green.</w:t>
            </w:r>
          </w:p>
        </w:tc>
      </w:tr>
      <w:tr>
        <w:tc>
          <w:tcPr>
            <w:tcW w:type="dxa" w:w="5083"/>
          </w:tcPr>
          <w:p>
            <w:r/>
            <w:r>
              <w:rPr>
                <w:b/>
                <w:sz w:val="18"/>
              </w:rPr>
              <w:t>Metacello baseline</w:t>
            </w:r>
          </w:p>
        </w:tc>
        <w:tc>
          <w:tcPr>
            <w:tcW w:type="dxa" w:w="5083"/>
          </w:tcPr>
          <w:p>
            <w:r/>
            <w:r>
              <w:rPr>
                <w:b w:val="0"/>
                <w:sz w:val="18"/>
              </w:rPr>
              <w:t>Motion packages added with Core &lt;- Effects &lt;- Examples dependency direction and included in the Pharo UI group.</w:t>
            </w:r>
          </w:p>
        </w:tc>
      </w:tr>
    </w:tbl>
    <w:p>
      <w:pPr>
        <w:pStyle w:val="Heading2"/>
      </w:pPr>
      <w:r>
        <w:t>6.1 Defects already found and fixed</w:t>
      </w:r>
    </w:p>
    <w:p>
      <w:pPr>
        <w:pStyle w:val="ListBullet"/>
      </w:pPr>
      <w:r>
        <w:t>Bounds conversion originally passed a coordinate wrapper where mutable BlBounds was expected. This was corrected using source-grounded Bloc bounds conversion.</w:t>
      </w:r>
    </w:p>
    <w:p>
      <w:pPr>
        <w:pStyle w:val="ListBullet"/>
      </w:pPr>
      <w:r>
        <w:t>CFMotionPropertyKey equality required missing element/property accessors. They were added.</w:t>
      </w:r>
    </w:p>
    <w:p>
      <w:pPr>
        <w:pStyle w:val="ListBullet"/>
      </w:pPr>
      <w:r>
        <w:t>CFMotionBuilder&gt;&gt;opacityTo: originally discarded the existing retargeted operation because a trailing yourself returned the unused new operation. The return path was fixed.</w:t>
      </w:r>
    </w:p>
    <w:p>
      <w:pPr/>
      <w:r>
        <w:t>The naming in the prototype predates the current API direction. For example opacityTo: should be revisited rather than preserved for compatibility.</w:t>
      </w:r>
    </w:p>
    <w:p>
      <w:pPr>
        <w:pStyle w:val="Heading1"/>
      </w:pPr>
      <w:r>
        <w:t>7. Architectural correction before adding features</w:t>
      </w:r>
    </w:p>
    <w:tbl>
      <w:tblPr>
        <w:tblW w:type="auto" w:w="0"/>
        <w:jc w:val="center"/>
        <w:tblLook w:firstColumn="1" w:firstRow="1" w:lastColumn="0" w:lastRow="0" w:noHBand="0" w:noVBand="1" w:val="04A0"/>
      </w:tblPr>
      <w:tblGrid>
        <w:gridCol w:w="10166"/>
      </w:tblGrid>
      <w:tr>
        <w:tc>
          <w:tcPr>
            <w:tcW w:type="dxa" w:w="10166"/>
            <w:shd w:fill="FCE4D6"/>
          </w:tcPr>
          <w:p>
            <w:r>
              <w:rPr>
                <w:b/>
                <w:sz w:val="20"/>
              </w:rPr>
              <w:t>Do not extend the two separate mini-engines</w:t>
            </w:r>
          </w:p>
          <w:p>
            <w:pPr>
              <w:spacing w:after="0"/>
            </w:pPr>
            <w:r>
              <w:t>The current property operation and layout transaction should not grow independently. Before serious layout, geometry or effects work, establish one shared operation spine for lifecycle, ownership, retargeting, cancellation, tracing and cleanup.</w:t>
            </w:r>
          </w:p>
        </w:tc>
      </w:tr>
    </w:tbl>
    <w:p>
      <w:pPr>
        <w:spacing w:after="0"/>
      </w:pPr>
    </w:p>
    <w:p>
      <w:pPr/>
      <w:r>
        <w:t>The likely smallest coherent shared model is:</w:t>
      </w:r>
    </w:p>
    <w:p>
      <w:pPr>
        <w:pStyle w:val="CodeBlock"/>
      </w:pPr>
      <w:r>
        <w:t>CFMotion</w:t>
        <w:br/>
        <w:t>CFMotionState</w:t>
        <w:br/>
        <w:t>CFMotionCoordinator</w:t>
        <w:br/>
        <w:t>CFMotionTrack</w:t>
        <w:br/>
        <w:t>CFMotionPropertyTrack</w:t>
        <w:br/>
        <w:t>CFMotionProperty</w:t>
        <w:br/>
        <w:t>CFMotionPropertyKey</w:t>
        <w:br/>
        <w:t>CFMotionTrace</w:t>
        <w:br/>
        <w:t>CFMotionTraceEntry</w:t>
      </w:r>
    </w:p>
    <w:p>
      <w:pPr/>
      <w:r>
        <w:t>legacy property-motion prototype should become a thin specialization or disappear into a configured CFMotion. Layout operations should consume the same spine rather than implementing their own generations, cancellation and callbacks.</w:t>
      </w:r>
    </w:p>
    <w:p>
      <w:pPr>
        <w:pStyle w:val="Heading1"/>
      </w:pPr>
      <w:r>
        <w:t>8. Recommended next implementation step</w:t>
      </w:r>
    </w:p>
    <w:p>
      <w:pPr/>
      <w:r>
        <w:t>Refactor the green opacity prototype into the shared inspectable operation/track lifecycle before implementing geometry or replacing editor machinery.</w:t>
      </w:r>
    </w:p>
    <w:p>
      <w:pPr>
        <w:pStyle w:val="Heading2"/>
      </w:pPr>
      <w:r>
        <w:t>8.1 Minimum vertical slice</w:t>
      </w:r>
    </w:p>
    <w:p>
      <w:pPr>
        <w:pStyle w:val="ListBullet"/>
      </w:pPr>
      <w:r>
        <w:t>One CFMotion lifecycle shared by all future motion.</w:t>
      </w:r>
    </w:p>
    <w:p>
      <w:pPr>
        <w:pStyle w:val="ListBullet"/>
      </w:pPr>
      <w:r>
        <w:t>Typed opacity property track.</w:t>
      </w:r>
    </w:p>
    <w:p>
      <w:pPr>
        <w:pStyle w:val="ListBullet"/>
      </w:pPr>
      <w:r>
        <w:t>One owner per subject/property within the BlSpace coordinator.</w:t>
      </w:r>
    </w:p>
    <w:p>
      <w:pPr>
        <w:pStyle w:val="ListBullet"/>
      </w:pPr>
      <w:r>
        <w:t>Retarget from current presented opacity.</w:t>
      </w:r>
    </w:p>
    <w:p>
      <w:pPr>
        <w:pStyle w:val="ListBullet"/>
      </w:pPr>
      <w:r>
        <w:t>Replacement and cancellation policies.</w:t>
      </w:r>
    </w:p>
    <w:p>
      <w:pPr>
        <w:pStyle w:val="ListBullet"/>
      </w:pPr>
      <w:r>
        <w:t>Generation or operation identity guarding obsolete Bloc completion callbacks.</w:t>
      </w:r>
    </w:p>
    <w:p>
      <w:pPr>
        <w:pStyle w:val="ListBullet"/>
      </w:pPr>
      <w:r>
        <w:t>Structured trace/state sufficient for GT inspection.</w:t>
      </w:r>
    </w:p>
    <w:p>
      <w:pPr>
        <w:pStyle w:val="ListBullet"/>
      </w:pPr>
      <w:r>
        <w:t>Complete cleanup and ownership release.</w:t>
      </w:r>
    </w:p>
    <w:p>
      <w:pPr>
        <w:pStyle w:val="Heading2"/>
      </w:pPr>
      <w:r>
        <w:t>8.2 Executable examples to make green</w:t>
      </w:r>
    </w:p>
    <w:p>
      <w:pPr>
        <w:pStyle w:val="CodeBlock"/>
      </w:pPr>
      <w:r>
        <w:t>opacityCompletes</w:t>
        <w:br/>
        <w:t>opacityRetargetsFromCurrentPresentation</w:t>
        <w:br/>
        <w:t>opacityReplacementKeepsOneOwner</w:t>
        <w:br/>
        <w:t>opacityCancellationPreservesCurrentPresentation</w:t>
        <w:br/>
        <w:t>opacityCleanupReleasesOwnership</w:t>
        <w:br/>
        <w:t>opacityOperationIsInspectable</w:t>
      </w:r>
    </w:p>
    <w:p>
      <w:pPr/>
      <w:r>
        <w:t>Only after these are green should layout geometry be rebuilt on the shared spine.</w:t>
      </w:r>
    </w:p>
    <w:p>
      <w:pPr>
        <w:pStyle w:val="Heading1"/>
      </w:pPr>
      <w:r>
        <w:t>9. Next geometry/layout phase</w:t>
      </w:r>
    </w:p>
    <w:p>
      <w:pPr/>
      <w:r>
        <w:t>The next phase should introduce a layout/geometry operation using explicit participants, one coordinate space and typed readiness.</w:t>
      </w:r>
    </w:p>
    <w:p>
      <w:pPr>
        <w:pStyle w:val="ListBullet"/>
      </w:pPr>
      <w:r>
        <w:t>Capture current presentation for declared participants before mutation.</w:t>
      </w:r>
    </w:p>
    <w:p>
      <w:pPr>
        <w:pStyle w:val="ListBullet"/>
      </w:pPr>
      <w:r>
        <w:t>Apply authoritative mutation exactly once.</w:t>
      </w:r>
    </w:p>
    <w:p>
      <w:pPr>
        <w:pStyle w:val="ListBullet"/>
      </w:pPr>
      <w:r>
        <w:t>Wait through a real readiness strategy, not a single postpone: call.</w:t>
      </w:r>
    </w:p>
    <w:p>
      <w:pPr>
        <w:pStyle w:val="ListBullet"/>
      </w:pPr>
      <w:r>
        <w:t>Let Bloc perform layout and capture resulting geometry.</w:t>
      </w:r>
    </w:p>
    <w:p>
      <w:pPr>
        <w:pStyle w:val="ListBullet"/>
      </w:pPr>
      <w:r>
        <w:t>Animate position and extent through shared geometry tracks.</w:t>
      </w:r>
    </w:p>
    <w:p>
      <w:pPr>
        <w:pStyle w:val="ListBullet"/>
      </w:pPr>
      <w:r>
        <w:t>Support restricted position/extent/width/height projections through the same geometry abstraction.</w:t>
      </w:r>
    </w:p>
    <w:p>
      <w:pPr>
        <w:pStyle w:val="ListBullet"/>
      </w:pPr>
      <w:r>
        <w:t>Retarget from current presentation while preserving continuity.</w:t>
      </w:r>
    </w:p>
    <w:p>
      <w:pPr>
        <w:pStyle w:val="ListBullet"/>
      </w:pPr>
      <w:r>
        <w:t>Compose Motion-owned transform channels safely with application transforms.</w:t>
      </w:r>
    </w:p>
    <w:p>
      <w:pPr>
        <w:pStyle w:val="ListBullet"/>
      </w:pPr>
      <w:r>
        <w:t>Restore/remove only Motion-owned constraints and presentation.</w:t>
      </w:r>
    </w:p>
    <w:p>
      <w:pPr>
        <w:pStyle w:val="Heading1"/>
      </w:pPr>
      <w:r>
        <w:t>10. GT integration expectations</w:t>
      </w:r>
    </w:p>
    <w:p>
      <w:pPr/>
      <w:r>
        <w:t>Motion is GT-focused and should be quietly moldable by design. Important runtime objects should be inspectable and navigable without creating a giant tooling layer up front.</w:t>
      </w:r>
    </w:p>
    <w:p>
      <w:pPr>
        <w:pStyle w:val="ListBullet"/>
      </w:pPr>
      <w:r>
        <w:t>Coordinator view: active operations, property ownership, conflicts, readiness and cleanup.</w:t>
      </w:r>
    </w:p>
    <w:p>
      <w:pPr>
        <w:pStyle w:val="ListBullet"/>
      </w:pPr>
      <w:r>
        <w:t>Operation view: state, subject, tracks, destination, policies and trace.</w:t>
      </w:r>
    </w:p>
    <w:p>
      <w:pPr>
        <w:pStyle w:val="ListBullet"/>
      </w:pPr>
      <w:r>
        <w:t>Snapshot/geometry view: coordinate space, captured bounds, validity and hierarchy context.</w:t>
      </w:r>
    </w:p>
    <w:p>
      <w:pPr>
        <w:pStyle w:val="ListBullet"/>
      </w:pPr>
      <w:r>
        <w:t>Readiness view: what is awaited, evidence and cleanup.</w:t>
      </w:r>
    </w:p>
    <w:p>
      <w:pPr>
        <w:pStyle w:val="ListBullet"/>
      </w:pPr>
      <w:r>
        <w:t>Effect view: primitive composition, parameters, examples and reduced alternative.</w:t>
      </w:r>
    </w:p>
    <w:p>
      <w:pPr>
        <w:pStyle w:val="ListBullet"/>
      </w:pPr>
      <w:r>
        <w:t>Examples return useful live Motion objects, not only rendered elements.</w:t>
      </w:r>
    </w:p>
    <w:p>
      <w:pPr>
        <w:pStyle w:val="ListBullet"/>
      </w:pPr>
      <w:r>
        <w:t>Failures carry relevant objects and explain violated invariants.</w:t>
      </w:r>
    </w:p>
    <w:p>
      <w:pPr>
        <w:pStyle w:val="Heading1"/>
      </w:pPr>
      <w:r>
        <w:t>11. Configuration Editor acceptance target</w:t>
      </w:r>
    </w:p>
    <w:p>
      <w:pPr/>
      <w:r>
        <w:t>The Configuration Editor is the first complex proving ground after isolated examples.</w:t>
      </w:r>
    </w:p>
    <w:p>
      <w:pPr>
        <w:pStyle w:val="ListBullet"/>
      </w:pPr>
      <w:r>
        <w:t>Two visual elements: drag representation under the pointer and separate drop preview in the target.</w:t>
      </w:r>
    </w:p>
    <w:p>
      <w:pPr>
        <w:pStyle w:val="ListBullet"/>
      </w:pPr>
      <w:r>
        <w:t>Closest valid nested container selected through one coherent visible-target/hit-test model.</w:t>
      </w:r>
    </w:p>
    <w:p>
      <w:pPr>
        <w:pStyle w:val="ListBullet"/>
      </w:pPr>
      <w:r>
        <w:t>Old gap closes while new gap opens; preview retargets between geometries simultaneously.</w:t>
      </w:r>
    </w:p>
    <w:p>
      <w:pPr>
        <w:pStyle w:val="ListBullet"/>
      </w:pPr>
      <w:r>
        <w:t>Container expansion, sibling displacement, gap and preview opacity may share one semantic transaction.</w:t>
      </w:r>
    </w:p>
    <w:p>
      <w:pPr>
        <w:pStyle w:val="ListBullet"/>
      </w:pPr>
      <w:r>
        <w:t>No uniform row-size assumptions and no index-based geometry heuristics.</w:t>
      </w:r>
    </w:p>
    <w:p>
      <w:pPr>
        <w:pStyle w:val="ListBullet"/>
      </w:pPr>
      <w:r>
        <w:t>Retarget starts from current preview presentation, never 0@0 or temporary overlay geometry.</w:t>
      </w:r>
    </w:p>
    <w:p>
      <w:pPr>
        <w:pStyle w:val="ListBullet"/>
      </w:pPr>
      <w:r>
        <w:t>Async Preparing content cannot define authoritative destination geometry.</w:t>
      </w:r>
    </w:p>
    <w:p>
      <w:pPr>
        <w:pStyle w:val="ListBullet"/>
      </w:pPr>
      <w:r>
        <w:t>Sidebar entry disables target/preview without leaking into editor targets.</w:t>
      </w:r>
    </w:p>
    <w:p>
      <w:pPr>
        <w:pStyle w:val="ListBullet"/>
      </w:pPr>
      <w:r>
        <w:t>Hover-open/user-open form state semantics are preserved on drop.</w:t>
      </w:r>
    </w:p>
    <w:p>
      <w:pPr>
        <w:pStyle w:val="ListBullet"/>
      </w:pPr>
      <w:r>
        <w:t>Successful adoption invalidates pending callbacks and clears all operation-owned presentation.</w:t>
      </w:r>
    </w:p>
    <w:p>
      <w:pPr>
        <w:pStyle w:val="ListBullet"/>
      </w:pPr>
      <w:r>
        <w:t>Second and later drops behave exactly like the first.</w:t>
      </w:r>
    </w:p>
    <w:p>
      <w:pPr>
        <w:pStyle w:val="Heading1"/>
      </w:pPr>
      <w:r>
        <w:t>12. Consequential choices still requiring source experiments</w:t>
      </w:r>
    </w:p>
    <w:tbl>
      <w:tblPr>
        <w:tblW w:type="auto" w:w="0"/>
        <w:jc w:val="center"/>
        <w:tblLook w:firstColumn="1" w:firstRow="1" w:lastColumn="0" w:lastRow="0" w:noHBand="0" w:noVBand="1" w:val="04A0"/>
      </w:tblPr>
      <w:tblGrid>
        <w:gridCol w:w="10166"/>
      </w:tblGrid>
      <w:tr>
        <w:tc>
          <w:tcPr>
            <w:tcW w:type="dxa" w:w="10166"/>
            <w:shd w:fill="EAF2F8"/>
          </w:tcPr>
          <w:p>
            <w:r>
              <w:rPr>
                <w:b/>
                <w:sz w:val="20"/>
              </w:rPr>
              <w:t>Transform composition</w:t>
            </w:r>
          </w:p>
          <w:p>
            <w:pPr>
              <w:spacing w:after="0"/>
            </w:pPr>
            <w:r>
              <w:t>Prefer a dedicated Motion-owned transform channel/layer if Bloc provides a safe composition seam. Full matrix decomposition/recomposition risks ownership and restoration errors. Verify against actual BlTransformation APIs before choosing.</w:t>
            </w:r>
          </w:p>
        </w:tc>
      </w:tr>
    </w:tbl>
    <w:p>
      <w:pPr>
        <w:spacing w:after="0"/>
      </w:pPr>
    </w:p>
    <w:tbl>
      <w:tblPr>
        <w:tblW w:type="auto" w:w="0"/>
        <w:jc w:val="center"/>
        <w:tblLook w:firstColumn="1" w:firstRow="1" w:lastColumn="0" w:lastRow="0" w:noHBand="0" w:noVBand="1" w:val="04A0"/>
      </w:tblPr>
      <w:tblGrid>
        <w:gridCol w:w="10166"/>
      </w:tblGrid>
      <w:tr>
        <w:tc>
          <w:tcPr>
            <w:tcW w:type="dxa" w:w="10166"/>
            <w:shd w:fill="EAF2F8"/>
          </w:tcPr>
          <w:p>
            <w:r>
              <w:rPr>
                <w:b/>
                <w:sz w:val="20"/>
              </w:rPr>
              <w:t>Geometry property shape</w:t>
            </w:r>
          </w:p>
          <w:p>
            <w:pPr>
              <w:spacing w:after="0"/>
            </w:pPr>
            <w:r>
              <w:t>Decide whether layout geometry is represented by one typed bounds property with component projections, or a small family of position/extent channels sharing one snapshot. The choice affects conflict ownership and retargeting.</w:t>
            </w:r>
          </w:p>
        </w:tc>
      </w:tr>
    </w:tbl>
    <w:p>
      <w:pPr>
        <w:spacing w:after="0"/>
      </w:pPr>
    </w:p>
    <w:tbl>
      <w:tblPr>
        <w:tblW w:type="auto" w:w="0"/>
        <w:jc w:val="center"/>
        <w:tblLook w:firstColumn="1" w:firstRow="1" w:lastColumn="0" w:lastRow="0" w:noHBand="0" w:noVBand="1" w:val="04A0"/>
      </w:tblPr>
      <w:tblGrid>
        <w:gridCol w:w="10166"/>
      </w:tblGrid>
      <w:tr>
        <w:tc>
          <w:tcPr>
            <w:tcW w:type="dxa" w:w="10166"/>
            <w:shd w:fill="EAF2F8"/>
          </w:tcPr>
          <w:p>
            <w:r>
              <w:rPr>
                <w:b/>
                <w:sz w:val="20"/>
              </w:rPr>
              <w:t>Coordinator storage</w:t>
            </w:r>
          </w:p>
          <w:p>
            <w:pPr>
              <w:spacing w:after="0"/>
            </w:pPr>
            <w:r>
              <w:t>Root userData is simple and space-local; a weak registry avoids root coupling but introduces global state. Keep the current direction unless source inspection shows root replacement hazards.</w:t>
            </w:r>
          </w:p>
        </w:tc>
      </w:tr>
    </w:tbl>
    <w:p>
      <w:pPr>
        <w:spacing w:after="0"/>
      </w:pPr>
    </w:p>
    <w:tbl>
      <w:tblPr>
        <w:tblW w:type="auto" w:w="0"/>
        <w:jc w:val="center"/>
        <w:tblLook w:firstColumn="1" w:firstRow="1" w:lastColumn="0" w:lastRow="0" w:noHBand="0" w:noVBand="1" w:val="04A0"/>
      </w:tblPr>
      <w:tblGrid>
        <w:gridCol w:w="10166"/>
      </w:tblGrid>
      <w:tr>
        <w:tc>
          <w:tcPr>
            <w:tcW w:type="dxa" w:w="10166"/>
            <w:shd w:fill="EAF2F8"/>
          </w:tcPr>
          <w:p>
            <w:r>
              <w:rPr>
                <w:b/>
                <w:sz w:val="20"/>
              </w:rPr>
              <w:t>Operation states</w:t>
            </w:r>
          </w:p>
          <w:p>
            <w:pPr>
              <w:spacing w:after="0"/>
            </w:pPr>
            <w:r>
              <w:t>Typed singleton state objects are the likely starting point. Promote to state-specific classes only where state owns meaningful protocol.</w:t>
            </w:r>
          </w:p>
        </w:tc>
      </w:tr>
    </w:tbl>
    <w:p>
      <w:pPr>
        <w:spacing w:after="0"/>
      </w:pPr>
    </w:p>
    <w:tbl>
      <w:tblPr>
        <w:tblW w:type="auto" w:w="0"/>
        <w:jc w:val="center"/>
        <w:tblLook w:firstColumn="1" w:firstRow="1" w:lastColumn="0" w:lastRow="0" w:noHBand="0" w:noVBand="1" w:val="04A0"/>
      </w:tblPr>
      <w:tblGrid>
        <w:gridCol w:w="10166"/>
      </w:tblGrid>
      <w:tr>
        <w:tc>
          <w:tcPr>
            <w:tcW w:type="dxa" w:w="10166"/>
            <w:shd w:fill="EAF2F8"/>
          </w:tcPr>
          <w:p>
            <w:r>
              <w:rPr>
                <w:b/>
                <w:sz w:val="20"/>
              </w:rPr>
              <w:t>Stable layout readiness</w:t>
            </w:r>
          </w:p>
          <w:p>
            <w:pPr>
              <w:spacing w:after="0"/>
            </w:pPr>
            <w:r>
              <w:t>Likely compose explicit semantic readiness with bounded geometry stability. Do not assume one pulse means ready.</w:t>
            </w:r>
          </w:p>
        </w:tc>
      </w:tr>
    </w:tbl>
    <w:p>
      <w:pPr>
        <w:spacing w:after="0"/>
      </w:pPr>
    </w:p>
    <w:tbl>
      <w:tblPr>
        <w:tblW w:type="auto" w:w="0"/>
        <w:jc w:val="center"/>
        <w:tblLook w:firstColumn="1" w:firstRow="1" w:lastColumn="0" w:lastRow="0" w:noHBand="0" w:noVBand="1" w:val="04A0"/>
      </w:tblPr>
      <w:tblGrid>
        <w:gridCol w:w="10166"/>
      </w:tblGrid>
      <w:tr>
        <w:tc>
          <w:tcPr>
            <w:tcW w:type="dxa" w:w="10166"/>
            <w:shd w:fill="EAF2F8"/>
          </w:tcPr>
          <w:p>
            <w:r>
              <w:rPr>
                <w:b/>
                <w:sz w:val="20"/>
              </w:rPr>
              <w:t>Effect composition API</w:t>
            </w:r>
          </w:p>
          <w:p>
            <w:pPr>
              <w:spacing w:after="0"/>
            </w:pPr>
            <w:r>
              <w:t>The library concept is required, but the exact fluent composition syntax is not frozen. Preserve typed primitive composition and ready-to-use named recipes; validate syntax through executable examples.</w:t>
            </w:r>
          </w:p>
        </w:tc>
      </w:tr>
    </w:tbl>
    <w:p>
      <w:pPr>
        <w:spacing w:after="0"/>
      </w:pPr>
    </w:p>
    <w:p>
      <w:pPr>
        <w:pStyle w:val="Heading1"/>
      </w:pPr>
      <w:r>
        <w:t>13. Source/archive set for Codex</w:t>
      </w:r>
    </w:p>
    <w:p>
      <w:pPr/>
      <w:r>
        <w:t>Use the latest available versions of:</w:t>
      </w:r>
    </w:p>
    <w:p>
      <w:pPr>
        <w:pStyle w:val="ListBullet"/>
      </w:pPr>
      <w:r>
        <w:t>CatalystFoundation source archive.</w:t>
      </w:r>
    </w:p>
    <w:p>
      <w:pPr>
        <w:pStyle w:val="ListBullet"/>
      </w:pPr>
      <w:r>
        <w:t>GTUI source archive.</w:t>
      </w:r>
    </w:p>
    <w:p>
      <w:pPr>
        <w:pStyle w:val="ListBullet"/>
      </w:pPr>
      <w:r>
        <w:t>GT Motion prototype/fix archive containing the green examples.</w:t>
      </w:r>
    </w:p>
    <w:p>
      <w:pPr>
        <w:pStyle w:val="ListBullet"/>
      </w:pPr>
      <w:r>
        <w:t>GT-Motion-Technical-Specification-Base-v1.1.docx.</w:t>
      </w:r>
    </w:p>
    <w:p>
      <w:pPr>
        <w:pStyle w:val="ListBullet"/>
      </w:pPr>
      <w:r>
        <w:t>GT-Motion-Features-Usage-and-Examples-Base-v1.1.docx.</w:t>
      </w:r>
    </w:p>
    <w:p>
      <w:pPr>
        <w:pStyle w:val="ListBullet"/>
      </w:pPr>
      <w:r>
        <w:t>This handover document.</w:t>
      </w:r>
    </w:p>
    <w:p>
      <w:pPr/>
      <w:r>
        <w:t>Runtime is intentionally absent at this stage. It becomes a Motion consumer later.</w:t>
      </w:r>
    </w:p>
    <w:p>
      <w:pPr>
        <w:pStyle w:val="Heading1"/>
      </w:pPr>
      <w:r>
        <w:t>14. Suggested Codex opening instruction</w:t>
      </w:r>
    </w:p>
    <w:p>
      <w:pPr>
        <w:pStyle w:val="CodeBlock"/>
      </w:pPr>
      <w:r>
        <w:t>We are continuing GT Motion, a dedicated GT / Bloc / Brick temporal UI framework in BVC Foundation.</w:t>
        <w:br/>
        <w:br/>
        <w:t>Read the handover and the two accompanying design documents. Treat those documents as hints to the ideals and current vocabulary, not as a frozen contract. Treat the latest GTUI and Catalyst Foundation sources and executable examples as truth.</w:t>
        <w:br/>
        <w:br/>
        <w:t>Deep-read the exact Bloc Animation, BlSpace frame/pulse/layout, bounds/coordinate, geometry and transformation APIs before changing implementation. Review Brick states, wishes and aptitudes where relevant.</w:t>
        <w:br/>
        <w:br/>
        <w:t>Begin by evaluating the current green opacity prototype against the desired shared operation spine. Propose the smallest source-grounded refactor that unifies lifecycle, ownership, retargeting, cancellation, tracing and cleanup. Do not add layout or effects features until that spine is coherent and executable examples are green.</w:t>
        <w:br/>
        <w:br/>
        <w:t>Do not guess. When a consequential design choice lacks a clearly superior source-grounded answer, stop and present the options and implications.</w:t>
        <w:br/>
        <w:br/>
        <w:t>Naming must be clean and right-sized:</w:t>
        <w:br/>
        <w:t>- properties use ordinary property selectors, such as opacity:;</w:t>
        <w:br/>
        <w:t>- semantic operations use verbs;</w:t>
        <w:br/>
        <w:t>- transaction directives name the participating change without animate prefixes;</w:t>
        <w:br/>
        <w:t>- geometry is foundational, with position/extent/width/height as projections;</w:t>
        <w:br/>
        <w:t>- complex effects compose from primitives but are also exposed as discoverable ready-to-use library recipes.</w:t>
        <w:br/>
        <w:br/>
        <w:t>Build for GT first. Keep every important runtime object inspectable and navigable, but let the design demonstrate that quietly rather than turning the framework into a tooling slogan.</w:t>
      </w:r>
    </w:p>
    <w:p>
      <w:pPr>
        <w:pStyle w:val="Heading1"/>
      </w:pPr>
      <w:r>
        <w:t>15. Final reminder</w:t>
      </w:r>
    </w:p>
    <w:tbl>
      <w:tblPr>
        <w:tblW w:type="auto" w:w="0"/>
        <w:jc w:val="center"/>
        <w:tblLook w:firstColumn="1" w:firstRow="1" w:lastColumn="0" w:lastRow="0" w:noHBand="0" w:noVBand="1" w:val="04A0"/>
      </w:tblPr>
      <w:tblGrid>
        <w:gridCol w:w="10166"/>
      </w:tblGrid>
      <w:tr>
        <w:tc>
          <w:tcPr>
            <w:tcW w:type="dxa" w:w="10166"/>
            <w:shd w:fill="EAF2F8"/>
          </w:tcPr>
          <w:p>
            <w:r>
              <w:rPr>
                <w:b/>
                <w:sz w:val="20"/>
              </w:rPr>
              <w:t>The documents are a compass, not handcuffs</w:t>
            </w:r>
          </w:p>
          <w:p>
            <w:pPr>
              <w:spacing w:after="0"/>
            </w:pPr>
            <w:r>
              <w:t>Review the design continuously against real Bloc and Brick behaviour. Improve names, object boundaries and protocols when source or executable examples reveal a cleaner fit. Preserve the ideals: GT-native, typed, discoverable, composable, inspectable, no hidden ownership, no geometry guesses, and simple things genuinely simple.</w:t>
            </w:r>
          </w:p>
        </w:tc>
      </w:tr>
    </w:tbl>
    <w:p>
      <w:pPr>
        <w:spacing w:after="0"/>
      </w:pPr>
    </w:p>
    <w:sectPr w:rsidR="00FC693F" w:rsidRPr="0006063C" w:rsidSect="00034616">
      <w:headerReference w:type="default" r:id="rId9"/>
      <w:footerReference w:type="default" r:id="rId10"/>
      <w:pgSz w:w="12240" w:h="15840"/>
      <w:pgMar w:top="936"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6464"/>
        <w:sz w:val="16"/>
      </w:rPr>
      <w:t>BVC Foundation Motion • Handover • July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6464"/>
        <w:sz w:val="16"/>
      </w:rPr>
      <w:t>GT Motion - Codex Handover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7365D"/>
      <w:sz w:val="3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244A73"/>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2F5F8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w:hAnsi="Aptos"/>
      <w:b w:val="0"/>
      <w:i/>
      <w:iCs/>
      <w:color w:val="5B6573"/>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40"/>
      <w:ind w:left="317" w:right="173"/>
      <w:shd w:fill="F3F5F7"/>
    </w:pPr>
    <w:rPr>
      <w:rFonts w:ascii="Menlo" w:hAnsi="Menlo"/>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