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Catalyst Physics - Architecture</w:t>
      </w:r>
    </w:p>
    <w:p>
      <w:pPr>
        <w:pStyle w:val="Subtitle"/>
      </w:pPr>
      <w:r>
        <w:t>Deterministic 2D rigid-body architecture | Part of Catalyst Foundation</w:t>
      </w:r>
    </w:p>
    <w:tbl>
      <w:tblPr>
        <w:tblW w:type="auto" w:w="0"/>
        <w:jc w:val="center"/>
        <w:tblLook w:firstColumn="1" w:firstRow="1" w:lastColumn="0" w:lastRow="0" w:noHBand="0" w:noVBand="1" w:val="04A0"/>
      </w:tblPr>
      <w:tblGrid>
        <w:gridCol w:w="9878"/>
      </w:tblGrid>
      <w:tr>
        <w:tc>
          <w:tcPr>
            <w:tcW w:type="dxa" w:w="9878"/>
            <w:shd w:fill="EEF3F8"/>
            <w:tcMar>
              <w:top w:w="120" w:type="dxa"/>
              <w:start w:w="160" w:type="dxa"/>
              <w:bottom w:w="120" w:type="dxa"/>
              <w:end w:w="160" w:type="dxa"/>
            </w:tcMar>
          </w:tcPr>
          <w:p>
            <w:pPr>
              <w:spacing w:after="0"/>
            </w:pPr>
            <w:r>
              <w:rPr>
                <w:b/>
                <w:color w:val="18324A"/>
              </w:rPr>
              <w:t xml:space="preserve">Positioning  </w:t>
            </w:r>
            <w:r>
              <w:rPr>
                <w:color w:val="202A33"/>
              </w:rPr>
              <w:t>Catalyst Physics is part of Catalyst Foundation.</w:t>
            </w:r>
          </w:p>
        </w:tc>
      </w:tr>
    </w:tbl>
    <w:p/>
    <w:tbl>
      <w:tblPr>
        <w:tblW w:type="auto" w:w="0"/>
        <w:jc w:val="center"/>
        <w:tblLook w:firstColumn="1" w:firstRow="1" w:lastColumn="0" w:lastRow="0" w:noHBand="0" w:noVBand="1" w:val="04A0"/>
      </w:tblPr>
      <w:tblGrid>
        <w:gridCol w:w="9878"/>
      </w:tblGrid>
      <w:tr>
        <w:tc>
          <w:tcPr>
            <w:tcW w:type="dxa" w:w="9878"/>
            <w:shd w:fill="E9F3F4"/>
            <w:tcMar>
              <w:top w:w="110" w:type="dxa"/>
              <w:start w:w="150" w:type="dxa"/>
              <w:bottom w:w="110" w:type="dxa"/>
              <w:end w:w="150" w:type="dxa"/>
            </w:tcMar>
          </w:tcPr>
          <w:p>
            <w:pPr>
              <w:spacing w:after="0"/>
            </w:pPr>
            <w:r>
              <w:rPr>
                <w:b/>
                <w:color w:val="197C87"/>
              </w:rPr>
              <w:t xml:space="preserve">Authority  </w:t>
            </w:r>
            <w:r>
              <w:t>Current Catalyst Physics source defines the architecture. The earlier Catalyst Foundation Physics architecture document provides historical design context and terminology.</w:t>
            </w:r>
          </w:p>
        </w:tc>
      </w:tr>
    </w:tbl>
    <w:p>
      <w:pPr>
        <w:pStyle w:val="Heading1"/>
      </w:pPr>
      <w:r>
        <w:t>Purpose</w:t>
      </w:r>
    </w:p>
    <w:p>
      <w:r>
        <w:t>Catalyst Physics is the Bloc-native two-dimensional rigid-body simulation component of Catalyst Foundation. Box2D 3.1.1 provides the behavioural reference for physical semantics.</w:t>
      </w:r>
    </w:p>
    <w:p>
      <w:r>
        <w:t>CFPhysicsWorld is the simulation authority. It owns bodies, forces, joints, contacts, fixed-step execution, sleeping, telemetry, Behaviour registration and capture/solve/commit state. Catalyst Motion supplies playback cadence and presentation timing. Mondrian supplies graph topology and presentation integration. Physics Tools supply diagnostics and analysis.</w:t>
      </w:r>
    </w:p>
    <w:p>
      <w:pPr>
        <w:pStyle w:val="ListBullet"/>
        <w:spacing w:after="50"/>
      </w:pPr>
      <w:r>
        <w:t>Bloc-native physical state attached to real elements.</w:t>
      </w:r>
    </w:p>
    <w:p>
      <w:pPr>
        <w:pStyle w:val="ListBullet"/>
        <w:spacing w:after="50"/>
      </w:pPr>
      <w:r>
        <w:t>Deterministic fixed-step simulation.</w:t>
      </w:r>
    </w:p>
    <w:p>
      <w:pPr>
        <w:pStyle w:val="ListBullet"/>
        <w:spacing w:after="50"/>
      </w:pPr>
      <w:r>
        <w:t>MKS physical units at the public physical boundary.</w:t>
      </w:r>
    </w:p>
    <w:p>
      <w:pPr>
        <w:pStyle w:val="ListBullet"/>
        <w:spacing w:after="50"/>
      </w:pPr>
      <w:r>
        <w:t>Explicit ownership and lifecycle.</w:t>
      </w:r>
    </w:p>
    <w:p>
      <w:pPr>
        <w:pStyle w:val="ListBullet"/>
        <w:spacing w:after="50"/>
      </w:pPr>
      <w:r>
        <w:t>Stable domain identity and step-local solver products.</w:t>
      </w:r>
    </w:p>
    <w:p>
      <w:pPr>
        <w:pStyle w:val="ListBullet"/>
        <w:spacing w:after="50"/>
      </w:pPr>
      <w:r>
        <w:t>Capture/solve/commit isolation for foreground and background execution.</w:t>
      </w:r>
    </w:p>
    <w:p>
      <w:pPr>
        <w:pStyle w:val="ListBullet"/>
        <w:spacing w:after="50"/>
      </w:pPr>
      <w:r>
        <w:t>Retained diagnostic tooling driven by relevant state changes.</w:t>
      </w:r>
    </w:p>
    <w:p>
      <w:pPr>
        <w:pStyle w:val="Heading1"/>
      </w:pPr>
      <w:r>
        <w:t>Architectural model</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Bloc element</w:t>
            </w:r>
            <w:r>
              <w:br/>
            </w:r>
            <w:r>
              <w:t xml:space="preserve">    CFPhysics façade</w:t>
            </w:r>
            <w:r>
              <w:br/>
            </w:r>
            <w:r>
              <w:t xml:space="preserve">        CFPhysicsWorld</w:t>
            </w:r>
            <w:r>
              <w:br/>
            </w:r>
            <w:r>
              <w:t xml:space="preserve">            bodies / forces / joints / contacts</w:t>
            </w:r>
            <w:r>
              <w:br/>
            </w:r>
            <w:r>
              <w:t xml:space="preserve">            CFPhysicsBehaviours</w:t>
            </w:r>
            <w:r>
              <w:br/>
            </w:r>
            <w:r>
              <w:t xml:space="preserve">            capture -&gt; CFPhysicsWorldState</w:t>
            </w:r>
            <w:r>
              <w:br/>
            </w:r>
            <w:r>
              <w:t xml:space="preserve">                CFPhysicsStepPipeline</w:t>
            </w:r>
            <w:r>
              <w:br/>
            </w:r>
            <w:r>
              <w:t xml:space="preserve">                    collision / constraints / islands / solve</w:t>
            </w:r>
            <w:r>
              <w:br/>
            </w:r>
            <w:r>
              <w:t xml:space="preserve">            validate -&gt; CFPhysicsWorldSolution</w:t>
            </w:r>
            <w:r>
              <w:br/>
            </w:r>
            <w:r>
              <w:t xml:space="preserve">            commit</w:t>
            </w:r>
            <w:r>
              <w:br/>
            </w:r>
            <w:r/>
            <w:r>
              <w:br/>
            </w:r>
            <w:r>
              <w:t>Optional integrations</w:t>
            </w:r>
            <w:r>
              <w:br/>
            </w:r>
            <w:r>
              <w:t xml:space="preserve">    BVC-Physics-Motion</w:t>
            </w:r>
            <w:r>
              <w:br/>
            </w:r>
            <w:r>
              <w:t xml:space="preserve">    BVC-Physics-Mondrian</w:t>
            </w:r>
            <w:r>
              <w:br/>
            </w:r>
            <w:r>
              <w:t xml:space="preserve">    BVC-Physics-Tools</w:t>
            </w:r>
          </w:p>
        </w:tc>
      </w:tr>
    </w:tbl>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Package</w:t>
            </w:r>
          </w:p>
        </w:tc>
        <w:tc>
          <w:tcPr>
            <w:tcW w:type="dxa" w:w="4939"/>
            <w:shd w:fill="18324A"/>
            <w:vAlign w:val="center"/>
            <w:tcMar>
              <w:top w:w="90" w:type="dxa"/>
              <w:start w:w="100" w:type="dxa"/>
              <w:bottom w:w="90" w:type="dxa"/>
              <w:end w:w="100" w:type="dxa"/>
            </w:tcMar>
          </w:tcPr>
          <w:p>
            <w:r>
              <w:rPr>
                <w:b/>
                <w:color w:val="FFFFFF"/>
                <w:sz w:val="18"/>
              </w:rPr>
              <w:t>Primary responsibility</w:t>
            </w:r>
          </w:p>
        </w:tc>
      </w:tr>
      <w:tr>
        <w:tc>
          <w:tcPr>
            <w:tcW w:type="dxa" w:w="4939"/>
            <w:vAlign w:val="top"/>
            <w:tcMar>
              <w:top w:w="90" w:type="dxa"/>
              <w:start w:w="100" w:type="dxa"/>
              <w:bottom w:w="90" w:type="dxa"/>
              <w:end w:w="100" w:type="dxa"/>
            </w:tcMar>
          </w:tcPr>
          <w:p>
            <w:pPr>
              <w:spacing w:after="0"/>
            </w:pPr>
            <w:r>
              <w:rPr>
                <w:sz w:val="17"/>
              </w:rPr>
              <w:t>BVC-Physics-Model</w:t>
            </w:r>
          </w:p>
        </w:tc>
        <w:tc>
          <w:tcPr>
            <w:tcW w:type="dxa" w:w="4939"/>
            <w:vAlign w:val="top"/>
            <w:tcMar>
              <w:top w:w="90" w:type="dxa"/>
              <w:start w:w="100" w:type="dxa"/>
              <w:bottom w:w="90" w:type="dxa"/>
              <w:end w:w="100" w:type="dxa"/>
            </w:tcMar>
          </w:tcPr>
          <w:p>
            <w:pPr>
              <w:spacing w:after="0"/>
            </w:pPr>
            <w:r>
              <w:rPr>
                <w:sz w:val="17"/>
              </w:rPr>
              <w:t>Stable physical model, body types, forces, joints, anchors, materials and captured state/value objects.</w:t>
            </w:r>
          </w:p>
        </w:tc>
      </w:tr>
      <w:tr>
        <w:tc>
          <w:tcPr>
            <w:tcW w:type="dxa" w:w="4939"/>
            <w:shd w:fill="F8FAFB"/>
            <w:vAlign w:val="top"/>
            <w:tcMar>
              <w:top w:w="90" w:type="dxa"/>
              <w:start w:w="100" w:type="dxa"/>
              <w:bottom w:w="90" w:type="dxa"/>
              <w:end w:w="100" w:type="dxa"/>
            </w:tcMar>
          </w:tcPr>
          <w:p>
            <w:pPr>
              <w:spacing w:after="0"/>
            </w:pPr>
            <w:r>
              <w:rPr>
                <w:sz w:val="17"/>
              </w:rPr>
              <w:t>BVC-Physics-Collision</w:t>
            </w:r>
          </w:p>
        </w:tc>
        <w:tc>
          <w:tcPr>
            <w:tcW w:type="dxa" w:w="4939"/>
            <w:shd w:fill="F8FAFB"/>
            <w:vAlign w:val="top"/>
            <w:tcMar>
              <w:top w:w="90" w:type="dxa"/>
              <w:start w:w="100" w:type="dxa"/>
              <w:bottom w:w="90" w:type="dxa"/>
              <w:end w:w="100" w:type="dxa"/>
            </w:tcMar>
          </w:tcPr>
          <w:p>
            <w:pPr>
              <w:spacing w:after="0"/>
            </w:pPr>
            <w:r>
              <w:rPr>
                <w:sz w:val="17"/>
              </w:rPr>
              <w:t>Collision geometry, contacts, manifolds, GJK/EPA and time-of-impact algorithms.</w:t>
            </w:r>
          </w:p>
        </w:tc>
      </w:tr>
      <w:tr>
        <w:tc>
          <w:tcPr>
            <w:tcW w:type="dxa" w:w="4939"/>
            <w:vAlign w:val="top"/>
            <w:tcMar>
              <w:top w:w="90" w:type="dxa"/>
              <w:start w:w="100" w:type="dxa"/>
              <w:bottom w:w="90" w:type="dxa"/>
              <w:end w:w="100" w:type="dxa"/>
            </w:tcMar>
          </w:tcPr>
          <w:p>
            <w:pPr>
              <w:spacing w:after="0"/>
            </w:pPr>
            <w:r>
              <w:rPr>
                <w:sz w:val="17"/>
              </w:rPr>
              <w:t>BVC-Physics-Pipeline</w:t>
            </w:r>
          </w:p>
        </w:tc>
        <w:tc>
          <w:tcPr>
            <w:tcW w:type="dxa" w:w="4939"/>
            <w:vAlign w:val="top"/>
            <w:tcMar>
              <w:top w:w="90" w:type="dxa"/>
              <w:start w:w="100" w:type="dxa"/>
              <w:bottom w:w="90" w:type="dxa"/>
              <w:end w:w="100" w:type="dxa"/>
            </w:tcMar>
          </w:tcPr>
          <w:p>
            <w:pPr>
              <w:spacing w:after="0"/>
            </w:pPr>
            <w:r>
              <w:rPr>
                <w:sz w:val="17"/>
              </w:rPr>
              <w:t>Ordered fixed-step execution, broad phase, preparation, islands, solve and result collection.</w:t>
            </w:r>
          </w:p>
        </w:tc>
      </w:tr>
      <w:tr>
        <w:tc>
          <w:tcPr>
            <w:tcW w:type="dxa" w:w="4939"/>
            <w:shd w:fill="F8FAFB"/>
            <w:vAlign w:val="top"/>
            <w:tcMar>
              <w:top w:w="90" w:type="dxa"/>
              <w:start w:w="100" w:type="dxa"/>
              <w:bottom w:w="90" w:type="dxa"/>
              <w:end w:w="100" w:type="dxa"/>
            </w:tcMar>
          </w:tcPr>
          <w:p>
            <w:pPr>
              <w:spacing w:after="0"/>
            </w:pPr>
            <w:r>
              <w:rPr>
                <w:sz w:val="17"/>
              </w:rPr>
              <w:t>BVC-Physics-Bloc</w:t>
            </w:r>
          </w:p>
        </w:tc>
        <w:tc>
          <w:tcPr>
            <w:tcW w:type="dxa" w:w="4939"/>
            <w:shd w:fill="F8FAFB"/>
            <w:vAlign w:val="top"/>
            <w:tcMar>
              <w:top w:w="90" w:type="dxa"/>
              <w:start w:w="100" w:type="dxa"/>
              <w:bottom w:w="90" w:type="dxa"/>
              <w:end w:w="100" w:type="dxa"/>
            </w:tcMar>
          </w:tcPr>
          <w:p>
            <w:pPr>
              <w:spacing w:after="0"/>
            </w:pPr>
            <w:r>
              <w:rPr>
                <w:sz w:val="17"/>
              </w:rPr>
              <w:t>Bloc geometry adaptation, contact events and interaction integration.</w:t>
            </w:r>
          </w:p>
        </w:tc>
      </w:tr>
      <w:tr>
        <w:tc>
          <w:tcPr>
            <w:tcW w:type="dxa" w:w="4939"/>
            <w:vAlign w:val="top"/>
            <w:tcMar>
              <w:top w:w="90" w:type="dxa"/>
              <w:start w:w="100" w:type="dxa"/>
              <w:bottom w:w="90" w:type="dxa"/>
              <w:end w:w="100" w:type="dxa"/>
            </w:tcMar>
          </w:tcPr>
          <w:p>
            <w:pPr>
              <w:spacing w:after="0"/>
            </w:pPr>
            <w:r>
              <w:rPr>
                <w:sz w:val="17"/>
              </w:rPr>
              <w:t>BVC-Physics-Core</w:t>
            </w:r>
          </w:p>
        </w:tc>
        <w:tc>
          <w:tcPr>
            <w:tcW w:type="dxa" w:w="4939"/>
            <w:vAlign w:val="top"/>
            <w:tcMar>
              <w:top w:w="90" w:type="dxa"/>
              <w:start w:w="100" w:type="dxa"/>
              <w:bottom w:w="90" w:type="dxa"/>
              <w:end w:w="100" w:type="dxa"/>
            </w:tcMar>
          </w:tcPr>
          <w:p>
            <w:pPr>
              <w:spacing w:after="0"/>
            </w:pPr>
            <w:r>
              <w:rPr>
                <w:sz w:val="17"/>
              </w:rPr>
              <w:t>Public façade, world authority, membership, lifecycle and telemetry storage.</w:t>
            </w:r>
          </w:p>
        </w:tc>
      </w:tr>
      <w:tr>
        <w:tc>
          <w:tcPr>
            <w:tcW w:type="dxa" w:w="4939"/>
            <w:shd w:fill="F8FAFB"/>
            <w:vAlign w:val="top"/>
            <w:tcMar>
              <w:top w:w="90" w:type="dxa"/>
              <w:start w:w="100" w:type="dxa"/>
              <w:bottom w:w="90" w:type="dxa"/>
              <w:end w:w="100" w:type="dxa"/>
            </w:tcMar>
          </w:tcPr>
          <w:p>
            <w:pPr>
              <w:spacing w:after="0"/>
            </w:pPr>
            <w:r>
              <w:rPr>
                <w:sz w:val="17"/>
              </w:rPr>
              <w:t>BVC-Physics-Behaviours</w:t>
            </w:r>
          </w:p>
        </w:tc>
        <w:tc>
          <w:tcPr>
            <w:tcW w:type="dxa" w:w="4939"/>
            <w:shd w:fill="F8FAFB"/>
            <w:vAlign w:val="top"/>
            <w:tcMar>
              <w:top w:w="90" w:type="dxa"/>
              <w:start w:w="100" w:type="dxa"/>
              <w:bottom w:w="90" w:type="dxa"/>
              <w:end w:w="100" w:type="dxa"/>
            </w:tcMar>
          </w:tcPr>
          <w:p>
            <w:pPr>
              <w:spacing w:after="0"/>
            </w:pPr>
            <w:r>
              <w:rPr>
                <w:sz w:val="17"/>
              </w:rPr>
              <w:t>Higher-level orchestration of physical mechanisms.</w:t>
            </w:r>
          </w:p>
        </w:tc>
      </w:tr>
      <w:tr>
        <w:tc>
          <w:tcPr>
            <w:tcW w:type="dxa" w:w="4939"/>
            <w:vAlign w:val="top"/>
            <w:tcMar>
              <w:top w:w="90" w:type="dxa"/>
              <w:start w:w="100" w:type="dxa"/>
              <w:bottom w:w="90" w:type="dxa"/>
              <w:end w:w="100" w:type="dxa"/>
            </w:tcMar>
          </w:tcPr>
          <w:p>
            <w:pPr>
              <w:spacing w:after="0"/>
            </w:pPr>
            <w:r>
              <w:rPr>
                <w:sz w:val="17"/>
              </w:rPr>
              <w:t>BVC-Physics-Motion</w:t>
            </w:r>
          </w:p>
        </w:tc>
        <w:tc>
          <w:tcPr>
            <w:tcW w:type="dxa" w:w="4939"/>
            <w:vAlign w:val="top"/>
            <w:tcMar>
              <w:top w:w="90" w:type="dxa"/>
              <w:start w:w="100" w:type="dxa"/>
              <w:bottom w:w="90" w:type="dxa"/>
              <w:end w:w="100" w:type="dxa"/>
            </w:tcMar>
          </w:tcPr>
          <w:p>
            <w:pPr>
              <w:spacing w:after="0"/>
            </w:pPr>
            <w:r>
              <w:rPr>
                <w:sz w:val="17"/>
              </w:rPr>
              <w:t>Catalyst Motion playback, interpolation and background-step bridge.</w:t>
            </w:r>
          </w:p>
        </w:tc>
      </w:tr>
      <w:tr>
        <w:tc>
          <w:tcPr>
            <w:tcW w:type="dxa" w:w="4939"/>
            <w:shd w:fill="F8FAFB"/>
            <w:vAlign w:val="top"/>
            <w:tcMar>
              <w:top w:w="90" w:type="dxa"/>
              <w:start w:w="100" w:type="dxa"/>
              <w:bottom w:w="90" w:type="dxa"/>
              <w:end w:w="100" w:type="dxa"/>
            </w:tcMar>
          </w:tcPr>
          <w:p>
            <w:pPr>
              <w:spacing w:after="0"/>
            </w:pPr>
            <w:r>
              <w:rPr>
                <w:sz w:val="17"/>
              </w:rPr>
              <w:t>BVC-Physics-Mondrian</w:t>
            </w:r>
          </w:p>
        </w:tc>
        <w:tc>
          <w:tcPr>
            <w:tcW w:type="dxa" w:w="4939"/>
            <w:shd w:fill="F8FAFB"/>
            <w:vAlign w:val="top"/>
            <w:tcMar>
              <w:top w:w="90" w:type="dxa"/>
              <w:start w:w="100" w:type="dxa"/>
              <w:bottom w:w="90" w:type="dxa"/>
              <w:end w:w="100" w:type="dxa"/>
            </w:tcMar>
          </w:tcPr>
          <w:p>
            <w:pPr>
              <w:spacing w:after="0"/>
            </w:pPr>
            <w:r>
              <w:rPr>
                <w:sz w:val="17"/>
              </w:rPr>
              <w:t>Mondrian graph/world integration.</w:t>
            </w:r>
          </w:p>
        </w:tc>
      </w:tr>
      <w:tr>
        <w:tc>
          <w:tcPr>
            <w:tcW w:type="dxa" w:w="4939"/>
            <w:vAlign w:val="top"/>
            <w:tcMar>
              <w:top w:w="90" w:type="dxa"/>
              <w:start w:w="100" w:type="dxa"/>
              <w:bottom w:w="90" w:type="dxa"/>
              <w:end w:w="100" w:type="dxa"/>
            </w:tcMar>
          </w:tcPr>
          <w:p>
            <w:pPr>
              <w:spacing w:after="0"/>
            </w:pPr>
            <w:r>
              <w:rPr>
                <w:sz w:val="17"/>
              </w:rPr>
              <w:t>BVC-Physics-Tools</w:t>
            </w:r>
          </w:p>
        </w:tc>
        <w:tc>
          <w:tcPr>
            <w:tcW w:type="dxa" w:w="4939"/>
            <w:vAlign w:val="top"/>
            <w:tcMar>
              <w:top w:w="90" w:type="dxa"/>
              <w:start w:w="100" w:type="dxa"/>
              <w:bottom w:w="90" w:type="dxa"/>
              <w:end w:w="100" w:type="dxa"/>
            </w:tcMar>
          </w:tcPr>
          <w:p>
            <w:pPr>
              <w:spacing w:after="0"/>
            </w:pPr>
            <w:r>
              <w:rPr>
                <w:sz w:val="17"/>
              </w:rPr>
              <w:t>Overlay, inspectors, profile views and telemetry analysis.</w:t>
            </w:r>
          </w:p>
        </w:tc>
      </w:tr>
    </w:tbl>
    <w:p>
      <w:pPr>
        <w:pStyle w:val="Heading1"/>
      </w:pPr>
      <w:r>
        <w:t>World authority</w:t>
      </w:r>
    </w:p>
    <w:p>
      <w:r>
        <w:t>CFPhysicsWorld owns the mutable simulation and its lifecycle. World responsibilities include membership, body registration, force and joint collections, contacts, gravity, fixed-step configuration, sleeping, deterministic simulation time, step identity, telemetry, step-pipeline ownership, captured state, solution validation and commit.</w:t>
      </w:r>
    </w:p>
    <w:p>
      <w:r>
        <w:t>Catalyst Motion owns presentation cadence and frame scheduling. Physics presentation reads committed physical state and interpolates between committed transforms. This keeps physical truth in the world and presentation timing in Motion.</w:t>
      </w:r>
    </w:p>
    <w:p>
      <w:pPr>
        <w:pStyle w:val="Heading1"/>
      </w:pPr>
      <w:r>
        <w:t>Element-first API</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host physics beWorld.</w:t>
            </w:r>
            <w:r>
              <w:br/>
            </w:r>
            <w:r>
              <w:t>world := host physics world.</w:t>
            </w:r>
            <w:r>
              <w:br/>
            </w:r>
            <w:r/>
            <w:r>
              <w:br/>
            </w:r>
            <w:r>
              <w:t>bodyElement physics beDynamic.</w:t>
            </w:r>
            <w:r>
              <w:br/>
            </w:r>
            <w:r>
              <w:t>bodyElement physics</w:t>
            </w:r>
            <w:r>
              <w:br/>
            </w:r>
            <w:r>
              <w:t xml:space="preserve">    density: 1.0;</w:t>
            </w:r>
            <w:r>
              <w:br/>
            </w:r>
            <w:r>
              <w:t xml:space="preserve">    friction: 0.4;</w:t>
            </w:r>
            <w:r>
              <w:br/>
            </w:r>
            <w:r>
              <w:t xml:space="preserve">    restitution: 0.2.</w:t>
            </w:r>
          </w:p>
        </w:tc>
      </w:tr>
    </w:tbl>
    <w:p>
      <w:r>
        <w:t>BlElement&gt;&gt;physics supplies a CFPhysics façade. The façade keeps common configuration element-oriented and resolves the corresponding world/body objects.</w:t>
      </w:r>
    </w:p>
    <w:p>
      <w:r>
        <w:t>Current body types are dynamic, kinematic and static. The public façade exposes physical state, material properties, damping, gravity scale, forces, impulses, sleeping, sensors, collision filtering and continuous-collision participation.</w:t>
      </w:r>
    </w:p>
    <w:p>
      <w:pPr>
        <w:pStyle w:val="Heading1"/>
      </w:pPr>
      <w:r>
        <w:t>Physical units</w:t>
      </w:r>
    </w:p>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Quantity</w:t>
            </w:r>
          </w:p>
        </w:tc>
        <w:tc>
          <w:tcPr>
            <w:tcW w:type="dxa" w:w="4939"/>
            <w:shd w:fill="18324A"/>
            <w:vAlign w:val="center"/>
            <w:tcMar>
              <w:top w:w="90" w:type="dxa"/>
              <w:start w:w="100" w:type="dxa"/>
              <w:bottom w:w="90" w:type="dxa"/>
              <w:end w:w="100" w:type="dxa"/>
            </w:tcMar>
          </w:tcPr>
          <w:p>
            <w:r>
              <w:rPr>
                <w:b/>
                <w:color w:val="FFFFFF"/>
                <w:sz w:val="18"/>
              </w:rPr>
              <w:t>Public unit</w:t>
            </w:r>
          </w:p>
        </w:tc>
      </w:tr>
      <w:tr>
        <w:tc>
          <w:tcPr>
            <w:tcW w:type="dxa" w:w="4939"/>
            <w:vAlign w:val="top"/>
            <w:tcMar>
              <w:top w:w="90" w:type="dxa"/>
              <w:start w:w="100" w:type="dxa"/>
              <w:bottom w:w="90" w:type="dxa"/>
              <w:end w:w="100" w:type="dxa"/>
            </w:tcMar>
          </w:tcPr>
          <w:p>
            <w:pPr>
              <w:spacing w:after="0"/>
            </w:pPr>
            <w:r>
              <w:rPr>
                <w:sz w:val="17"/>
              </w:rPr>
              <w:t>Mass</w:t>
            </w:r>
          </w:p>
        </w:tc>
        <w:tc>
          <w:tcPr>
            <w:tcW w:type="dxa" w:w="4939"/>
            <w:vAlign w:val="top"/>
            <w:tcMar>
              <w:top w:w="90" w:type="dxa"/>
              <w:start w:w="100" w:type="dxa"/>
              <w:bottom w:w="90" w:type="dxa"/>
              <w:end w:w="100" w:type="dxa"/>
            </w:tcMar>
          </w:tcPr>
          <w:p>
            <w:pPr>
              <w:spacing w:after="0"/>
            </w:pPr>
            <w:r>
              <w:rPr>
                <w:sz w:val="17"/>
              </w:rPr>
              <w:t>kilograms</w:t>
            </w:r>
          </w:p>
        </w:tc>
      </w:tr>
      <w:tr>
        <w:tc>
          <w:tcPr>
            <w:tcW w:type="dxa" w:w="4939"/>
            <w:shd w:fill="F8FAFB"/>
            <w:vAlign w:val="top"/>
            <w:tcMar>
              <w:top w:w="90" w:type="dxa"/>
              <w:start w:w="100" w:type="dxa"/>
              <w:bottom w:w="90" w:type="dxa"/>
              <w:end w:w="100" w:type="dxa"/>
            </w:tcMar>
          </w:tcPr>
          <w:p>
            <w:pPr>
              <w:spacing w:after="0"/>
            </w:pPr>
            <w:r>
              <w:rPr>
                <w:sz w:val="17"/>
              </w:rPr>
              <w:t>Density</w:t>
            </w:r>
          </w:p>
        </w:tc>
        <w:tc>
          <w:tcPr>
            <w:tcW w:type="dxa" w:w="4939"/>
            <w:shd w:fill="F8FAFB"/>
            <w:vAlign w:val="top"/>
            <w:tcMar>
              <w:top w:w="90" w:type="dxa"/>
              <w:start w:w="100" w:type="dxa"/>
              <w:bottom w:w="90" w:type="dxa"/>
              <w:end w:w="100" w:type="dxa"/>
            </w:tcMar>
          </w:tcPr>
          <w:p>
            <w:pPr>
              <w:spacing w:after="0"/>
            </w:pPr>
            <w:r>
              <w:rPr>
                <w:sz w:val="17"/>
              </w:rPr>
              <w:t>kg/m²</w:t>
            </w:r>
          </w:p>
        </w:tc>
      </w:tr>
      <w:tr>
        <w:tc>
          <w:tcPr>
            <w:tcW w:type="dxa" w:w="4939"/>
            <w:vAlign w:val="top"/>
            <w:tcMar>
              <w:top w:w="90" w:type="dxa"/>
              <w:start w:w="100" w:type="dxa"/>
              <w:bottom w:w="90" w:type="dxa"/>
              <w:end w:w="100" w:type="dxa"/>
            </w:tcMar>
          </w:tcPr>
          <w:p>
            <w:pPr>
              <w:spacing w:after="0"/>
            </w:pPr>
            <w:r>
              <w:rPr>
                <w:sz w:val="17"/>
              </w:rPr>
              <w:t>Force</w:t>
            </w:r>
          </w:p>
        </w:tc>
        <w:tc>
          <w:tcPr>
            <w:tcW w:type="dxa" w:w="4939"/>
            <w:vAlign w:val="top"/>
            <w:tcMar>
              <w:top w:w="90" w:type="dxa"/>
              <w:start w:w="100" w:type="dxa"/>
              <w:bottom w:w="90" w:type="dxa"/>
              <w:end w:w="100" w:type="dxa"/>
            </w:tcMar>
          </w:tcPr>
          <w:p>
            <w:pPr>
              <w:spacing w:after="0"/>
            </w:pPr>
            <w:r>
              <w:rPr>
                <w:sz w:val="17"/>
              </w:rPr>
              <w:t>newtons</w:t>
            </w:r>
          </w:p>
        </w:tc>
      </w:tr>
      <w:tr>
        <w:tc>
          <w:tcPr>
            <w:tcW w:type="dxa" w:w="4939"/>
            <w:shd w:fill="F8FAFB"/>
            <w:vAlign w:val="top"/>
            <w:tcMar>
              <w:top w:w="90" w:type="dxa"/>
              <w:start w:w="100" w:type="dxa"/>
              <w:bottom w:w="90" w:type="dxa"/>
              <w:end w:w="100" w:type="dxa"/>
            </w:tcMar>
          </w:tcPr>
          <w:p>
            <w:pPr>
              <w:spacing w:after="0"/>
            </w:pPr>
            <w:r>
              <w:rPr>
                <w:sz w:val="17"/>
              </w:rPr>
              <w:t>Torque</w:t>
            </w:r>
          </w:p>
        </w:tc>
        <w:tc>
          <w:tcPr>
            <w:tcW w:type="dxa" w:w="4939"/>
            <w:shd w:fill="F8FAFB"/>
            <w:vAlign w:val="top"/>
            <w:tcMar>
              <w:top w:w="90" w:type="dxa"/>
              <w:start w:w="100" w:type="dxa"/>
              <w:bottom w:w="90" w:type="dxa"/>
              <w:end w:w="100" w:type="dxa"/>
            </w:tcMar>
          </w:tcPr>
          <w:p>
            <w:pPr>
              <w:spacing w:after="0"/>
            </w:pPr>
            <w:r>
              <w:rPr>
                <w:sz w:val="17"/>
              </w:rPr>
              <w:t>N·m</w:t>
            </w:r>
          </w:p>
        </w:tc>
      </w:tr>
      <w:tr>
        <w:tc>
          <w:tcPr>
            <w:tcW w:type="dxa" w:w="4939"/>
            <w:vAlign w:val="top"/>
            <w:tcMar>
              <w:top w:w="90" w:type="dxa"/>
              <w:start w:w="100" w:type="dxa"/>
              <w:bottom w:w="90" w:type="dxa"/>
              <w:end w:w="100" w:type="dxa"/>
            </w:tcMar>
          </w:tcPr>
          <w:p>
            <w:pPr>
              <w:spacing w:after="0"/>
            </w:pPr>
            <w:r>
              <w:rPr>
                <w:sz w:val="17"/>
              </w:rPr>
              <w:t>Linear impulse</w:t>
            </w:r>
          </w:p>
        </w:tc>
        <w:tc>
          <w:tcPr>
            <w:tcW w:type="dxa" w:w="4939"/>
            <w:vAlign w:val="top"/>
            <w:tcMar>
              <w:top w:w="90" w:type="dxa"/>
              <w:start w:w="100" w:type="dxa"/>
              <w:bottom w:w="90" w:type="dxa"/>
              <w:end w:w="100" w:type="dxa"/>
            </w:tcMar>
          </w:tcPr>
          <w:p>
            <w:pPr>
              <w:spacing w:after="0"/>
            </w:pPr>
            <w:r>
              <w:rPr>
                <w:sz w:val="17"/>
              </w:rPr>
              <w:t>N·s</w:t>
            </w:r>
          </w:p>
        </w:tc>
      </w:tr>
      <w:tr>
        <w:tc>
          <w:tcPr>
            <w:tcW w:type="dxa" w:w="4939"/>
            <w:shd w:fill="F8FAFB"/>
            <w:vAlign w:val="top"/>
            <w:tcMar>
              <w:top w:w="90" w:type="dxa"/>
              <w:start w:w="100" w:type="dxa"/>
              <w:bottom w:w="90" w:type="dxa"/>
              <w:end w:w="100" w:type="dxa"/>
            </w:tcMar>
          </w:tcPr>
          <w:p>
            <w:pPr>
              <w:spacing w:after="0"/>
            </w:pPr>
            <w:r>
              <w:rPr>
                <w:sz w:val="17"/>
              </w:rPr>
              <w:t>Angular impulse</w:t>
            </w:r>
          </w:p>
        </w:tc>
        <w:tc>
          <w:tcPr>
            <w:tcW w:type="dxa" w:w="4939"/>
            <w:shd w:fill="F8FAFB"/>
            <w:vAlign w:val="top"/>
            <w:tcMar>
              <w:top w:w="90" w:type="dxa"/>
              <w:start w:w="100" w:type="dxa"/>
              <w:bottom w:w="90" w:type="dxa"/>
              <w:end w:w="100" w:type="dxa"/>
            </w:tcMar>
          </w:tcPr>
          <w:p>
            <w:pPr>
              <w:spacing w:after="0"/>
            </w:pPr>
            <w:r>
              <w:rPr>
                <w:sz w:val="17"/>
              </w:rPr>
              <w:t>N·m·s</w:t>
            </w:r>
          </w:p>
        </w:tc>
      </w:tr>
      <w:tr>
        <w:tc>
          <w:tcPr>
            <w:tcW w:type="dxa" w:w="4939"/>
            <w:vAlign w:val="top"/>
            <w:tcMar>
              <w:top w:w="90" w:type="dxa"/>
              <w:start w:w="100" w:type="dxa"/>
              <w:bottom w:w="90" w:type="dxa"/>
              <w:end w:w="100" w:type="dxa"/>
            </w:tcMar>
          </w:tcPr>
          <w:p>
            <w:pPr>
              <w:spacing w:after="0"/>
            </w:pPr>
            <w:r>
              <w:rPr>
                <w:sz w:val="17"/>
              </w:rPr>
              <w:t>Acceleration</w:t>
            </w:r>
          </w:p>
        </w:tc>
        <w:tc>
          <w:tcPr>
            <w:tcW w:type="dxa" w:w="4939"/>
            <w:vAlign w:val="top"/>
            <w:tcMar>
              <w:top w:w="90" w:type="dxa"/>
              <w:start w:w="100" w:type="dxa"/>
              <w:bottom w:w="90" w:type="dxa"/>
              <w:end w:w="100" w:type="dxa"/>
            </w:tcMar>
          </w:tcPr>
          <w:p>
            <w:pPr>
              <w:spacing w:after="0"/>
            </w:pPr>
            <w:r>
              <w:rPr>
                <w:sz w:val="17"/>
              </w:rPr>
              <w:t>m/s²</w:t>
            </w:r>
          </w:p>
        </w:tc>
      </w:tr>
    </w:tbl>
    <w:p>
      <w:r>
        <w:t>lengthUnitsPerMetre is the conversion boundary between Bloc/Physics coordinate units and metres. Public physical configuration stays in MKS quantities; solver preparation converts through the world unit boundary.</w:t>
      </w:r>
    </w:p>
    <w:p>
      <w:pPr>
        <w:pStyle w:val="Heading1"/>
      </w:pPr>
      <w:r>
        <w:t>Bodies, shapes and materials</w:t>
      </w:r>
    </w:p>
    <w:p>
      <w:r>
        <w:t>CFPhysicsBody is the stable physical identity associated with a participating Bloc element. It owns current and previous transform, velocity, accumulated force/torque, damping, gravity scale, material/shape state, collision filtering and contact membership.</w:t>
      </w:r>
    </w:p>
    <w:p>
      <w:r>
        <w:t>CFPhysicsShapeState captures collision-relevant geometry. Current collision geometry includes circles, polygons and chain segments. CFPhysicsMaterial carries density, friction and restitution. Body type objects define mass/inertia and integration semantics for dynamic, kinematic and static bodies.</w:t>
      </w:r>
    </w:p>
    <w:p>
      <w:pPr>
        <w:pStyle w:val="Heading1"/>
      </w:pPr>
      <w:r>
        <w:t>Forces and interactions</w:t>
      </w:r>
    </w:p>
    <w:p>
      <w:r>
        <w:t>Forces are stable physical mechanisms owned by the world or by a Behaviour that creates them. Current mechanisms include body force, wind, centring, point attraction, pair attraction/repulsion, many-body repulsion, vortex and orientation restoration.</w:t>
      </w:r>
    </w:p>
    <w:p>
      <w:r>
        <w:t>Distance response objects express constant, linear-falloff and softened inverse-square force policies. Containment objects constrain bodies against explicit or world bounds.</w:t>
      </w:r>
    </w:p>
    <w:p>
      <w:pPr>
        <w:pStyle w:val="Heading1"/>
      </w:pPr>
      <w:r>
        <w:t>Joints and anchors</w:t>
      </w:r>
    </w:p>
    <w:p>
      <w:r>
        <w:t>CFPhysicsJoint owns common joint lifecycle, ordering and connected-collision policy. Concrete joint families include distance, motor, filter, revolute, weld, prismatic, wheel and mouse joints.</w:t>
      </w:r>
    </w:p>
    <w:p>
      <w:r>
        <w:t>Anchors express attachment coordinates explicitly through world, body-centre, body-local and normalised forms. Endpoint-pair objects capture or derive attachment relationships for springs, joints and interactions.</w:t>
      </w:r>
    </w:p>
    <w:p>
      <w:pPr>
        <w:pStyle w:val="Heading1"/>
      </w:pPr>
      <w:r>
        <w:t>Fixed-step execution</w:t>
      </w:r>
    </w:p>
    <w:p>
      <w:r>
        <w:t>Every simulation step follows one authoritative pipeline path.</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synchronise</w:t>
            </w:r>
            <w:r>
              <w:br/>
            </w:r>
            <w:r>
              <w:t xml:space="preserve">    -&gt; capture step-local state</w:t>
            </w:r>
            <w:r>
              <w:br/>
            </w:r>
            <w:r>
              <w:t xml:space="preserve">    -&gt; execute ordered pipeline</w:t>
            </w:r>
            <w:r>
              <w:br/>
            </w:r>
            <w:r>
              <w:t xml:space="preserve">    -&gt; produce solution/result</w:t>
            </w:r>
            <w:r>
              <w:br/>
            </w:r>
            <w:r>
              <w:t xml:space="preserve">    -&gt; validate solution identity</w:t>
            </w:r>
            <w:r>
              <w:br/>
            </w:r>
            <w:r>
              <w:t xml:space="preserve">    -&gt; commit</w:t>
            </w:r>
          </w:p>
        </w:tc>
      </w:tr>
    </w:tbl>
    <w:p>
      <w:r>
        <w:t>CFPhysicsStepPipeline owns ordered stage execution. Current stages cover body-state capture, velocity integration, pair finding, contact update, continuous collision, constraint preparation, island construction, waking, solving, sleeping, post-solve collection and contact events.</w:t>
      </w:r>
    </w:p>
    <w:p>
      <w:r>
        <w:t>Stages consume and produce step-local pipeline state. Presentation runs after commit through the Motion integration.</w:t>
      </w:r>
    </w:p>
    <w:p>
      <w:pPr>
        <w:pStyle w:val="Heading1"/>
      </w:pPr>
      <w:r>
        <w:t>Capture, solve and commit</w:t>
      </w:r>
    </w:p>
    <w:p>
      <w:r>
        <w:t>CFPhysicsWorldState is the captured step-local simulation input. CFPhysicsWorldSolution is the commit-compatible solution identity. Lifetime generation, topology revision and solve tickets validate that a result still belongs to the requesting world state.</w:t>
      </w:r>
    </w:p>
    <w:p>
      <w:r>
        <w:t>This boundary provides the concurrency seam for background execution while preserving one solver implementation and one commit contract.</w:t>
      </w:r>
    </w:p>
    <w:p>
      <w:pPr>
        <w:pStyle w:val="Heading1"/>
      </w:pPr>
      <w:r>
        <w:t>Foreground and background execution</w:t>
      </w:r>
    </w:p>
    <w:p>
      <w:r>
        <w:t>Foreground and background processing execute the same mutable step pipeline. Background execution uses one solve in flight, captured state, solve tickets, explicit background-step ownership and UI-side reconciliation/commit.</w:t>
      </w:r>
    </w:p>
    <w:p>
      <w:r>
        <w:t>activeSolveTicket describes solution eligibility. activeBackgroundStep represents exclusive execution ownership of the shared pipeline. A foreground request invalidates the outstanding background result, waits for the current pipeline owner to leave, and resumes fixed-step execution on the foreground path.</w:t>
      </w:r>
    </w:p>
    <w:p>
      <w:r>
        <w:t>Catalyst Motion preserves the latest committed presentation through the handoff.</w:t>
      </w:r>
    </w:p>
    <w:p>
      <w:pPr>
        <w:pStyle w:val="Heading1"/>
      </w:pPr>
      <w:r>
        <w:t>Collision architecture</w:t>
      </w:r>
    </w:p>
    <w:p>
      <w:r>
        <w:t>BVC-Physics-Collision owns collision geometry and geometric algorithms. It provides support mappings, AABBs, GJK distance/intersection, EPA penetration, manifold builders, persistent contact feature identity, sweeps, time-of-impact queries and conservative advancement.</w:t>
      </w:r>
    </w:p>
    <w:p>
      <w:r>
        <w:t>Pair finding respects collision filters and joint connected-collision policy. Contact update reconciles existing contact identity with the newest authoritative manifold state.</w:t>
      </w:r>
    </w:p>
    <w:p>
      <w:pPr>
        <w:pStyle w:val="Heading1"/>
      </w:pPr>
      <w:r>
        <w:t>Constraint preparation and solving</w:t>
      </w:r>
    </w:p>
    <w:p>
      <w:r>
        <w:t>The pipeline translates stable contacts and joints into prepared solver forms. Prepared constraints carry the step-local quantities used by the solver while stable domain objects retain public configuration and persistent accumulated state.</w:t>
      </w:r>
    </w:p>
    <w:p>
      <w:r>
        <w:t>Connected bodies form islands. Warm-start impulses seed subsequent solves. Constraint coloring and the soft-step solver organise deterministic constraint work. Post-solve collection commits impulses, body state and contact/event output back to stable simulation objects.</w:t>
      </w:r>
    </w:p>
    <w:p>
      <w:pPr>
        <w:pStyle w:val="Heading1"/>
      </w:pPr>
      <w:r>
        <w:t>Sleeping and waking</w:t>
      </w:r>
    </w:p>
    <w:p>
      <w:r>
        <w:t>Sleeping is native Physics state. CFPhysicsSleepConfiguration defines thresholds and quiet-time policy. Bodies expose sleeping permission and wake/sleep operations, while island stages make consistent connected-system decisions.</w:t>
      </w:r>
    </w:p>
    <w:p>
      <w:r>
        <w:t>Physical configuration changes wake affected bodies through the shared values or physical objects that own the change. Connectivity propagates wake state across relevant contacts and joints.</w:t>
      </w:r>
    </w:p>
    <w:p>
      <w:pPr>
        <w:pStyle w:val="Heading1"/>
      </w:pPr>
      <w:r>
        <w:t>Behaviour architecture</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behaviour := MyPhysicsBehaviour new</w:t>
            </w:r>
            <w:r>
              <w:br/>
            </w:r>
            <w:r>
              <w:t xml:space="preserve">    target: anElement;</w:t>
            </w:r>
            <w:r>
              <w:br/>
            </w:r>
            <w:r>
              <w:t xml:space="preserve">    start.</w:t>
            </w:r>
            <w:r>
              <w:br/>
            </w:r>
            <w:r/>
            <w:r>
              <w:br/>
            </w:r>
            <w:r>
              <w:t>behaviour stop.</w:t>
            </w:r>
          </w:p>
        </w:tc>
      </w:tr>
    </w:tbl>
    <w:p>
      <w:r>
        <w:t>CFPhysicsBehaviour owns an orchestration lifecycle around a target and its world. A running Behaviour receives Physics steps through step: and may create persistent physical resources, update existing mechanisms or coordinate several mechanisms as one higher-level feature.</w:t>
      </w:r>
    </w:p>
    <w:p>
      <w:r>
        <w:t>CFPhysicsForceDirectedBehaviour is the reference orchestration pattern. It composes distance joints, many-body repulsion, centring, component centring, orientation restoration, linear damping and native sleeping.</w:t>
      </w:r>
    </w:p>
    <w:p>
      <w:r>
        <w:t>CFPhysicsSharedScalar supplies live shared configuration. Consumers react through the shared value itself, giving application code, inspectors and animation one consistent wake/update path.</w:t>
      </w:r>
    </w:p>
    <w:p>
      <w:pPr>
        <w:pStyle w:val="Heading1"/>
      </w:pPr>
      <w:r>
        <w:t>Catalyst Motion integration</w:t>
      </w:r>
    </w:p>
    <w:p>
      <w:r>
        <w:t>Catalyst Motion is part of Catalyst Foundation and supplies Physics playback cadence and presentation timing. BVC-Physics-Motion adapts that cadence to the fixed Physics timestep.</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Motion evaluation elapsed time</w:t>
            </w:r>
            <w:r>
              <w:br/>
            </w:r>
            <w:r>
              <w:t xml:space="preserve">    -&gt; Physics accumulator</w:t>
            </w:r>
            <w:r>
              <w:br/>
            </w:r>
            <w:r>
              <w:t xml:space="preserve">    -&gt; zero or more fixed Physics steps</w:t>
            </w:r>
            <w:r>
              <w:br/>
            </w:r>
            <w:r>
              <w:t xml:space="preserve">    -&gt; interpolation alpha</w:t>
            </w:r>
            <w:r>
              <w:br/>
            </w:r>
            <w:r>
              <w:t xml:space="preserve">    -&gt; CFPhysicsWorldPresentation</w:t>
            </w:r>
          </w:p>
        </w:tc>
      </w:tr>
    </w:tbl>
    <w:p>
      <w:r>
        <w:t>CFPhysicsWorldMotionBehaviour owns accumulator logic. CFPhysicsWorldPlayback owns start/pause/resume/stop integration. CFPhysicsWorldPresentation owns presentation transforms and interpolation. CFPhysicsWorldBackgroundStep owns the background solve bridge.</w:t>
      </w:r>
    </w:p>
    <w:p>
      <w:pPr>
        <w:pStyle w:val="Heading1"/>
      </w:pPr>
      <w:r>
        <w:t>Mondrian integration</w:t>
      </w:r>
    </w:p>
    <w:p>
      <w:r>
        <w:t>BVC-Physics-Mondrian adapts Mondrian graph topology and canvassable presentation to Physics. Mondrian remains the graph authority; Physics owns physical participants and mechanisms; Catalyst Motion owns temporal presentation.</w:t>
      </w:r>
    </w:p>
    <w:p>
      <w:r>
        <w:t>The integration provides body-element selection, graph adapters, Physics-aware node/edge presentation and force-directed Behaviour wiring.</w:t>
      </w:r>
    </w:p>
    <w:p>
      <w:pPr>
        <w:pStyle w:val="Heading1"/>
      </w:pPr>
      <w:r>
        <w:t>Diagnostics and telemetry</w:t>
      </w:r>
    </w:p>
    <w:p>
      <w:r>
        <w:t>BVC-Physics-Tools owns retained diagnostics and analysis. CFPhysicsOverlay coordinates body, joint, spring and contact overlays, Behaviour selection, object inspection, status display and targeted refresh.</w:t>
      </w:r>
    </w:p>
    <w:p>
      <w:r>
        <w:t>Retained visuals preserve identity for stable simulation objects and update geometry/state in place. Contact visuals reconcile transient committed contact state. Filter state gates the corresponding diagnostic work.</w:t>
      </w:r>
    </w:p>
    <w:p>
      <w:r>
        <w:t>Telemetry wraps the same simulation path with optional measurement. CFPhysicsTelemetryLogger and CFPhysicsTelemetryRingBuffer store measurements; analysis and profile elements expose pipeline timing, workload measures and runtime health.</w:t>
      </w:r>
    </w:p>
    <w:p>
      <w:pPr>
        <w:pStyle w:val="Heading1"/>
      </w:pPr>
      <w:r>
        <w:t>Coordinate boundaries</w:t>
      </w:r>
    </w:p>
    <w:p>
      <w:r>
        <w:t>Physics world coordinates, body-local coordinates, Bloc element coordinates, Motion-interpolated presentation, Mondrian canvassable coordinates and overlay coordinates each have explicit conversion owners.</w:t>
      </w:r>
    </w:p>
    <w:p>
      <w:r>
        <w:t>CFPhysicsBlocPresentationCoordinates centralises the Physics/Bloc presentation seam. Body-owned points follow the displayed body presentation when interpolation matters. World-owned points follow the host/world conversion path.</w:t>
      </w:r>
    </w:p>
    <w:p>
      <w:pPr>
        <w:pStyle w:val="Heading1"/>
      </w:pPr>
      <w:r>
        <w:t>Determinism</w:t>
      </w:r>
    </w:p>
    <w:p>
      <w:r>
        <w:t>Catalyst Physics determinism is defined for the same simulation conditions and command sequence. Fixed steps, stable ordering, captured step-local state, one authoritative pipeline, deterministic Behaviour stepping, exclusive pipeline execution and commit validation protect that contract.</w:t>
      </w:r>
    </w:p>
    <w:p>
      <w:pPr>
        <w:pStyle w:val="Heading1"/>
      </w:pPr>
      <w:r>
        <w:t>Package groups and baseline</w:t>
      </w:r>
    </w:p>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Group</w:t>
            </w:r>
          </w:p>
        </w:tc>
        <w:tc>
          <w:tcPr>
            <w:tcW w:type="dxa" w:w="4939"/>
            <w:shd w:fill="18324A"/>
            <w:vAlign w:val="center"/>
            <w:tcMar>
              <w:top w:w="90" w:type="dxa"/>
              <w:start w:w="100" w:type="dxa"/>
              <w:bottom w:w="90" w:type="dxa"/>
              <w:end w:w="100" w:type="dxa"/>
            </w:tcMar>
          </w:tcPr>
          <w:p>
            <w:r>
              <w:rPr>
                <w:b/>
                <w:color w:val="FFFFFF"/>
                <w:sz w:val="18"/>
              </w:rPr>
              <w:t>Contents</w:t>
            </w:r>
          </w:p>
        </w:tc>
      </w:tr>
      <w:tr>
        <w:tc>
          <w:tcPr>
            <w:tcW w:type="dxa" w:w="4939"/>
            <w:vAlign w:val="top"/>
            <w:tcMar>
              <w:top w:w="90" w:type="dxa"/>
              <w:start w:w="100" w:type="dxa"/>
              <w:bottom w:w="90" w:type="dxa"/>
              <w:end w:w="100" w:type="dxa"/>
            </w:tcMar>
          </w:tcPr>
          <w:p>
            <w:pPr>
              <w:spacing w:after="0"/>
            </w:pPr>
            <w:r>
              <w:rPr>
                <w:sz w:val="17"/>
              </w:rPr>
              <w:t>model</w:t>
            </w:r>
          </w:p>
        </w:tc>
        <w:tc>
          <w:tcPr>
            <w:tcW w:type="dxa" w:w="4939"/>
            <w:vAlign w:val="top"/>
            <w:tcMar>
              <w:top w:w="90" w:type="dxa"/>
              <w:start w:w="100" w:type="dxa"/>
              <w:bottom w:w="90" w:type="dxa"/>
              <w:end w:w="100" w:type="dxa"/>
            </w:tcMar>
          </w:tcPr>
          <w:p>
            <w:pPr>
              <w:spacing w:after="0"/>
            </w:pPr>
            <w:r>
              <w:rPr>
                <w:sz w:val="17"/>
              </w:rPr>
              <w:t>BVC-Physics-Model + BVC-Physics-Collision</w:t>
            </w:r>
          </w:p>
        </w:tc>
      </w:tr>
      <w:tr>
        <w:tc>
          <w:tcPr>
            <w:tcW w:type="dxa" w:w="4939"/>
            <w:shd w:fill="F8FAFB"/>
            <w:vAlign w:val="top"/>
            <w:tcMar>
              <w:top w:w="90" w:type="dxa"/>
              <w:start w:w="100" w:type="dxa"/>
              <w:bottom w:w="90" w:type="dxa"/>
              <w:end w:w="100" w:type="dxa"/>
            </w:tcMar>
          </w:tcPr>
          <w:p>
            <w:pPr>
              <w:spacing w:after="0"/>
            </w:pPr>
            <w:r>
              <w:rPr>
                <w:sz w:val="17"/>
              </w:rPr>
              <w:t>core</w:t>
            </w:r>
          </w:p>
        </w:tc>
        <w:tc>
          <w:tcPr>
            <w:tcW w:type="dxa" w:w="4939"/>
            <w:shd w:fill="F8FAFB"/>
            <w:vAlign w:val="top"/>
            <w:tcMar>
              <w:top w:w="90" w:type="dxa"/>
              <w:start w:w="100" w:type="dxa"/>
              <w:bottom w:w="90" w:type="dxa"/>
              <w:end w:w="100" w:type="dxa"/>
            </w:tcMar>
          </w:tcPr>
          <w:p>
            <w:pPr>
              <w:spacing w:after="0"/>
            </w:pPr>
            <w:r>
              <w:rPr>
                <w:sz w:val="17"/>
              </w:rPr>
              <w:t>model + Pipeline + Bloc + Core + Behaviours</w:t>
            </w:r>
          </w:p>
        </w:tc>
      </w:tr>
      <w:tr>
        <w:tc>
          <w:tcPr>
            <w:tcW w:type="dxa" w:w="4939"/>
            <w:vAlign w:val="top"/>
            <w:tcMar>
              <w:top w:w="90" w:type="dxa"/>
              <w:start w:w="100" w:type="dxa"/>
              <w:bottom w:w="90" w:type="dxa"/>
              <w:end w:w="100" w:type="dxa"/>
            </w:tcMar>
          </w:tcPr>
          <w:p>
            <w:pPr>
              <w:spacing w:after="0"/>
            </w:pPr>
            <w:r>
              <w:rPr>
                <w:sz w:val="17"/>
              </w:rPr>
              <w:t>runtime</w:t>
            </w:r>
          </w:p>
        </w:tc>
        <w:tc>
          <w:tcPr>
            <w:tcW w:type="dxa" w:w="4939"/>
            <w:vAlign w:val="top"/>
            <w:tcMar>
              <w:top w:w="90" w:type="dxa"/>
              <w:start w:w="100" w:type="dxa"/>
              <w:bottom w:w="90" w:type="dxa"/>
              <w:end w:w="100" w:type="dxa"/>
            </w:tcMar>
          </w:tcPr>
          <w:p>
            <w:pPr>
              <w:spacing w:after="0"/>
            </w:pPr>
            <w:r>
              <w:rPr>
                <w:sz w:val="17"/>
              </w:rPr>
              <w:t>core + BVC-Physics-Motion</w:t>
            </w:r>
          </w:p>
        </w:tc>
      </w:tr>
      <w:tr>
        <w:tc>
          <w:tcPr>
            <w:tcW w:type="dxa" w:w="4939"/>
            <w:shd w:fill="F8FAFB"/>
            <w:vAlign w:val="top"/>
            <w:tcMar>
              <w:top w:w="90" w:type="dxa"/>
              <w:start w:w="100" w:type="dxa"/>
              <w:bottom w:w="90" w:type="dxa"/>
              <w:end w:w="100" w:type="dxa"/>
            </w:tcMar>
          </w:tcPr>
          <w:p>
            <w:pPr>
              <w:spacing w:after="0"/>
            </w:pPr>
            <w:r>
              <w:rPr>
                <w:sz w:val="17"/>
              </w:rPr>
              <w:t>tools</w:t>
            </w:r>
          </w:p>
        </w:tc>
        <w:tc>
          <w:tcPr>
            <w:tcW w:type="dxa" w:w="4939"/>
            <w:shd w:fill="F8FAFB"/>
            <w:vAlign w:val="top"/>
            <w:tcMar>
              <w:top w:w="90" w:type="dxa"/>
              <w:start w:w="100" w:type="dxa"/>
              <w:bottom w:w="90" w:type="dxa"/>
              <w:end w:w="100" w:type="dxa"/>
            </w:tcMar>
          </w:tcPr>
          <w:p>
            <w:pPr>
              <w:spacing w:after="0"/>
            </w:pPr>
            <w:r>
              <w:rPr>
                <w:sz w:val="17"/>
              </w:rPr>
              <w:t>runtime + BVC-Physics-Tools</w:t>
            </w:r>
          </w:p>
        </w:tc>
      </w:tr>
      <w:tr>
        <w:tc>
          <w:tcPr>
            <w:tcW w:type="dxa" w:w="4939"/>
            <w:vAlign w:val="top"/>
            <w:tcMar>
              <w:top w:w="90" w:type="dxa"/>
              <w:start w:w="100" w:type="dxa"/>
              <w:bottom w:w="90" w:type="dxa"/>
              <w:end w:w="100" w:type="dxa"/>
            </w:tcMar>
          </w:tcPr>
          <w:p>
            <w:pPr>
              <w:spacing w:after="0"/>
            </w:pPr>
            <w:r>
              <w:rPr>
                <w:sz w:val="17"/>
              </w:rPr>
              <w:t>mondrian</w:t>
            </w:r>
          </w:p>
        </w:tc>
        <w:tc>
          <w:tcPr>
            <w:tcW w:type="dxa" w:w="4939"/>
            <w:vAlign w:val="top"/>
            <w:tcMar>
              <w:top w:w="90" w:type="dxa"/>
              <w:start w:w="100" w:type="dxa"/>
              <w:bottom w:w="90" w:type="dxa"/>
              <w:end w:w="100" w:type="dxa"/>
            </w:tcMar>
          </w:tcPr>
          <w:p>
            <w:pPr>
              <w:spacing w:after="0"/>
            </w:pPr>
            <w:r>
              <w:rPr>
                <w:sz w:val="17"/>
              </w:rPr>
              <w:t>tools + BVC-Physics-Mondrian</w:t>
            </w:r>
          </w:p>
        </w:tc>
      </w:tr>
      <w:tr>
        <w:tc>
          <w:tcPr>
            <w:tcW w:type="dxa" w:w="4939"/>
            <w:shd w:fill="F8FAFB"/>
            <w:vAlign w:val="top"/>
            <w:tcMar>
              <w:top w:w="90" w:type="dxa"/>
              <w:start w:w="100" w:type="dxa"/>
              <w:bottom w:w="90" w:type="dxa"/>
              <w:end w:w="100" w:type="dxa"/>
            </w:tcMar>
          </w:tcPr>
          <w:p>
            <w:pPr>
              <w:spacing w:after="0"/>
            </w:pPr>
            <w:r>
              <w:rPr>
                <w:sz w:val="17"/>
              </w:rPr>
              <w:t>examples</w:t>
            </w:r>
          </w:p>
        </w:tc>
        <w:tc>
          <w:tcPr>
            <w:tcW w:type="dxa" w:w="4939"/>
            <w:shd w:fill="F8FAFB"/>
            <w:vAlign w:val="top"/>
            <w:tcMar>
              <w:top w:w="90" w:type="dxa"/>
              <w:start w:w="100" w:type="dxa"/>
              <w:bottom w:w="90" w:type="dxa"/>
              <w:end w:w="100" w:type="dxa"/>
            </w:tcMar>
          </w:tcPr>
          <w:p>
            <w:pPr>
              <w:spacing w:after="0"/>
            </w:pPr>
            <w:r>
              <w:rPr>
                <w:sz w:val="17"/>
              </w:rPr>
              <w:t>mondrian + BVC-Physics-Examples</w:t>
            </w:r>
          </w:p>
        </w:tc>
      </w:tr>
      <w:tr>
        <w:tc>
          <w:tcPr>
            <w:tcW w:type="dxa" w:w="4939"/>
            <w:vAlign w:val="top"/>
            <w:tcMar>
              <w:top w:w="90" w:type="dxa"/>
              <w:start w:w="100" w:type="dxa"/>
              <w:bottom w:w="90" w:type="dxa"/>
              <w:end w:w="100" w:type="dxa"/>
            </w:tcMar>
          </w:tcPr>
          <w:p>
            <w:pPr>
              <w:spacing w:after="0"/>
            </w:pPr>
            <w:r>
              <w:rPr>
                <w:sz w:val="17"/>
              </w:rPr>
              <w:t>tests</w:t>
            </w:r>
          </w:p>
        </w:tc>
        <w:tc>
          <w:tcPr>
            <w:tcW w:type="dxa" w:w="4939"/>
            <w:vAlign w:val="top"/>
            <w:tcMar>
              <w:top w:w="90" w:type="dxa"/>
              <w:start w:w="100" w:type="dxa"/>
              <w:bottom w:w="90" w:type="dxa"/>
              <w:end w:w="100" w:type="dxa"/>
            </w:tcMar>
          </w:tcPr>
          <w:p>
            <w:pPr>
              <w:spacing w:after="0"/>
            </w:pPr>
            <w:r>
              <w:rPr>
                <w:sz w:val="17"/>
              </w:rPr>
              <w:t>BVC-Physics-Tests-* packages</w:t>
            </w:r>
          </w:p>
        </w:tc>
      </w:tr>
      <w:tr>
        <w:tc>
          <w:tcPr>
            <w:tcW w:type="dxa" w:w="4939"/>
            <w:shd w:fill="F8FAFB"/>
            <w:vAlign w:val="top"/>
            <w:tcMar>
              <w:top w:w="90" w:type="dxa"/>
              <w:start w:w="100" w:type="dxa"/>
              <w:bottom w:w="90" w:type="dxa"/>
              <w:end w:w="100" w:type="dxa"/>
            </w:tcMar>
          </w:tcPr>
          <w:p>
            <w:pPr>
              <w:spacing w:after="0"/>
            </w:pPr>
            <w:r>
              <w:rPr>
                <w:sz w:val="17"/>
              </w:rPr>
              <w:t>all</w:t>
            </w:r>
          </w:p>
        </w:tc>
        <w:tc>
          <w:tcPr>
            <w:tcW w:type="dxa" w:w="4939"/>
            <w:shd w:fill="F8FAFB"/>
            <w:vAlign w:val="top"/>
            <w:tcMar>
              <w:top w:w="90" w:type="dxa"/>
              <w:start w:w="100" w:type="dxa"/>
              <w:bottom w:w="90" w:type="dxa"/>
              <w:end w:w="100" w:type="dxa"/>
            </w:tcMar>
          </w:tcPr>
          <w:p>
            <w:pPr>
              <w:spacing w:after="0"/>
            </w:pPr>
            <w:r>
              <w:rPr>
                <w:sz w:val="17"/>
              </w:rPr>
              <w:t>examples + tests</w:t>
            </w:r>
          </w:p>
        </w:tc>
      </w:tr>
      <w:tr>
        <w:tc>
          <w:tcPr>
            <w:tcW w:type="dxa" w:w="4939"/>
            <w:vAlign w:val="top"/>
            <w:tcMar>
              <w:top w:w="90" w:type="dxa"/>
              <w:start w:w="100" w:type="dxa"/>
              <w:bottom w:w="90" w:type="dxa"/>
              <w:end w:w="100" w:type="dxa"/>
            </w:tcMar>
          </w:tcPr>
          <w:p>
            <w:pPr>
              <w:spacing w:after="0"/>
            </w:pPr>
            <w:r>
              <w:rPr>
                <w:sz w:val="17"/>
              </w:rPr>
              <w:t>default</w:t>
            </w:r>
          </w:p>
        </w:tc>
        <w:tc>
          <w:tcPr>
            <w:tcW w:type="dxa" w:w="4939"/>
            <w:vAlign w:val="top"/>
            <w:tcMar>
              <w:top w:w="90" w:type="dxa"/>
              <w:start w:w="100" w:type="dxa"/>
              <w:bottom w:w="90" w:type="dxa"/>
              <w:end w:w="100" w:type="dxa"/>
            </w:tcMar>
          </w:tcPr>
          <w:p>
            <w:pPr>
              <w:spacing w:after="0"/>
            </w:pPr>
            <w:r>
              <w:rPr>
                <w:sz w:val="17"/>
              </w:rPr>
              <w:t>all</w:t>
            </w:r>
          </w:p>
        </w:tc>
      </w:tr>
    </w:tbl>
    <w:p>
      <w:r>
        <w:t>BaselineOfCatalystPhysics defines the standalone Catalyst Physics package graph. The Physics Motion package consumes the core group of Catalyst Motion.</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A7480"/>
        <w:sz w:val="17"/>
      </w:rPr>
      <w:t>Catalyst Physics - Architecture  |  Catalyst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97C8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Liberation Sans" w:hAnsi="Liberation Sans"/>
      <w:b w:val="0"/>
      <w:i/>
      <w:iCs/>
      <w:color w:val="197C8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317" w:right="173"/>
    </w:pPr>
    <w:rPr>
      <w:rFonts w:ascii="Liberation Mono" w:hAnsi="Liberation Mono"/>
      <w:color w:val="202A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