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Physics - Extending</w:t>
      </w:r>
    </w:p>
    <w:p>
      <w:pPr>
        <w:pStyle w:val="Subtitle"/>
      </w:pPr>
      <w:r>
        <w:t>Developer extension guide | Part of Catalyst Foundation</w:t>
      </w:r>
    </w:p>
    <w:tbl>
      <w:tblPr>
        <w:tblW w:type="auto" w:w="0"/>
        <w:jc w:val="center"/>
        <w:tblLook w:firstColumn="1" w:firstRow="1" w:lastColumn="0" w:lastRow="0" w:noHBand="0" w:noVBand="1" w:val="04A0"/>
      </w:tblPr>
      <w:tblGrid>
        <w:gridCol w:w="9878"/>
      </w:tblGrid>
      <w:tr>
        <w:tc>
          <w:tcPr>
            <w:tcW w:type="dxa" w:w="9878"/>
            <w:shd w:fill="EEF3F8"/>
            <w:tcMar>
              <w:top w:w="120" w:type="dxa"/>
              <w:start w:w="160" w:type="dxa"/>
              <w:bottom w:w="120" w:type="dxa"/>
              <w:end w:w="160" w:type="dxa"/>
            </w:tcMar>
          </w:tcPr>
          <w:p>
            <w:pPr>
              <w:spacing w:after="0"/>
            </w:pPr>
            <w:r>
              <w:rPr>
                <w:b/>
                <w:color w:val="18324A"/>
              </w:rPr>
              <w:t xml:space="preserve">Positioning  </w:t>
            </w:r>
            <w:r>
              <w:rPr>
                <w:color w:val="202A33"/>
              </w:rPr>
              <w:t>Catalyst Physics is part of Catalyst Foundation.</w:t>
            </w:r>
          </w:p>
        </w:tc>
      </w:tr>
    </w:tbl>
    <w:p/>
    <w:tbl>
      <w:tblPr>
        <w:tblW w:type="auto" w:w="0"/>
        <w:jc w:val="center"/>
        <w:tblLook w:firstColumn="1" w:firstRow="1" w:lastColumn="0" w:lastRow="0" w:noHBand="0" w:noVBand="1" w:val="04A0"/>
      </w:tblPr>
      <w:tblGrid>
        <w:gridCol w:w="9878"/>
      </w:tblGrid>
      <w:tr>
        <w:tc>
          <w:tcPr>
            <w:tcW w:type="dxa" w:w="9878"/>
            <w:shd w:fill="E9F3F4"/>
            <w:tcMar>
              <w:top w:w="110" w:type="dxa"/>
              <w:start w:w="150" w:type="dxa"/>
              <w:bottom w:w="110" w:type="dxa"/>
              <w:end w:w="150" w:type="dxa"/>
            </w:tcMar>
          </w:tcPr>
          <w:p>
            <w:pPr>
              <w:spacing w:after="0"/>
            </w:pPr>
            <w:r>
              <w:rPr>
                <w:b/>
                <w:color w:val="197C87"/>
              </w:rPr>
              <w:t xml:space="preserve">Authority  </w:t>
            </w:r>
            <w:r>
              <w:t>Current Catalyst Physics source and executable tests define the extension contracts described here.</w:t>
            </w:r>
          </w:p>
        </w:tc>
      </w:tr>
    </w:tbl>
    <w:p>
      <w:pPr>
        <w:pStyle w:val="Heading1"/>
      </w:pPr>
      <w:r>
        <w:t>Extension model</w:t>
      </w:r>
    </w:p>
    <w:p>
      <w:r>
        <w:t>Catalyst Physics extensions add one physical responsibility at the layer that owns it. Stable physical concepts live in Model, collision algorithms in Collision, ordered step work in Pipeline, Bloc geometry adaptation in Bloc, world authority in Core, orchestration in Behaviours, presentation timing in Motion integration, graph adaptation in Mondrian and diagnostics in Tools.</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Extension goal</w:t>
            </w:r>
          </w:p>
        </w:tc>
        <w:tc>
          <w:tcPr>
            <w:tcW w:type="dxa" w:w="4939"/>
            <w:shd w:fill="18324A"/>
            <w:vAlign w:val="center"/>
            <w:tcMar>
              <w:top w:w="90" w:type="dxa"/>
              <w:start w:w="100" w:type="dxa"/>
              <w:bottom w:w="90" w:type="dxa"/>
              <w:end w:w="100" w:type="dxa"/>
            </w:tcMar>
          </w:tcPr>
          <w:p>
            <w:r>
              <w:rPr>
                <w:b/>
                <w:color w:val="FFFFFF"/>
                <w:sz w:val="18"/>
              </w:rPr>
              <w:t>Primary home</w:t>
            </w:r>
          </w:p>
        </w:tc>
      </w:tr>
      <w:tr>
        <w:tc>
          <w:tcPr>
            <w:tcW w:type="dxa" w:w="4939"/>
            <w:vAlign w:val="top"/>
            <w:tcMar>
              <w:top w:w="90" w:type="dxa"/>
              <w:start w:w="100" w:type="dxa"/>
              <w:bottom w:w="90" w:type="dxa"/>
              <w:end w:w="100" w:type="dxa"/>
            </w:tcMar>
          </w:tcPr>
          <w:p>
            <w:pPr>
              <w:spacing w:after="0"/>
            </w:pPr>
            <w:r>
              <w:rPr>
                <w:sz w:val="17"/>
              </w:rPr>
              <w:t>Orchestrate existing physical mechanisms</w:t>
            </w:r>
          </w:p>
        </w:tc>
        <w:tc>
          <w:tcPr>
            <w:tcW w:type="dxa" w:w="4939"/>
            <w:vAlign w:val="top"/>
            <w:tcMar>
              <w:top w:w="90" w:type="dxa"/>
              <w:start w:w="100" w:type="dxa"/>
              <w:bottom w:w="90" w:type="dxa"/>
              <w:end w:w="100" w:type="dxa"/>
            </w:tcMar>
          </w:tcPr>
          <w:p>
            <w:pPr>
              <w:spacing w:after="0"/>
            </w:pPr>
            <w:r>
              <w:rPr>
                <w:sz w:val="17"/>
              </w:rPr>
              <w:t>BVC-Physics-Behaviours</w:t>
            </w:r>
          </w:p>
        </w:tc>
      </w:tr>
      <w:tr>
        <w:tc>
          <w:tcPr>
            <w:tcW w:type="dxa" w:w="4939"/>
            <w:shd w:fill="F8FAFB"/>
            <w:vAlign w:val="top"/>
            <w:tcMar>
              <w:top w:w="90" w:type="dxa"/>
              <w:start w:w="100" w:type="dxa"/>
              <w:bottom w:w="90" w:type="dxa"/>
              <w:end w:w="100" w:type="dxa"/>
            </w:tcMar>
          </w:tcPr>
          <w:p>
            <w:pPr>
              <w:spacing w:after="0"/>
            </w:pPr>
            <w:r>
              <w:rPr>
                <w:sz w:val="17"/>
              </w:rPr>
              <w:t>Add a stable force or interaction</w:t>
            </w:r>
          </w:p>
        </w:tc>
        <w:tc>
          <w:tcPr>
            <w:tcW w:type="dxa" w:w="4939"/>
            <w:shd w:fill="F8FAFB"/>
            <w:vAlign w:val="top"/>
            <w:tcMar>
              <w:top w:w="90" w:type="dxa"/>
              <w:start w:w="100" w:type="dxa"/>
              <w:bottom w:w="90" w:type="dxa"/>
              <w:end w:w="100" w:type="dxa"/>
            </w:tcMar>
          </w:tcPr>
          <w:p>
            <w:pPr>
              <w:spacing w:after="0"/>
            </w:pPr>
            <w:r>
              <w:rPr>
                <w:sz w:val="17"/>
              </w:rPr>
              <w:t>BVC-Physics-Model + world lifecycle</w:t>
            </w:r>
          </w:p>
        </w:tc>
      </w:tr>
      <w:tr>
        <w:tc>
          <w:tcPr>
            <w:tcW w:type="dxa" w:w="4939"/>
            <w:vAlign w:val="top"/>
            <w:tcMar>
              <w:top w:w="90" w:type="dxa"/>
              <w:start w:w="100" w:type="dxa"/>
              <w:bottom w:w="90" w:type="dxa"/>
              <w:end w:w="100" w:type="dxa"/>
            </w:tcMar>
          </w:tcPr>
          <w:p>
            <w:pPr>
              <w:spacing w:after="0"/>
            </w:pPr>
            <w:r>
              <w:rPr>
                <w:sz w:val="17"/>
              </w:rPr>
              <w:t>Add a joint</w:t>
            </w:r>
          </w:p>
        </w:tc>
        <w:tc>
          <w:tcPr>
            <w:tcW w:type="dxa" w:w="4939"/>
            <w:vAlign w:val="top"/>
            <w:tcMar>
              <w:top w:w="90" w:type="dxa"/>
              <w:start w:w="100" w:type="dxa"/>
              <w:bottom w:w="90" w:type="dxa"/>
              <w:end w:w="100" w:type="dxa"/>
            </w:tcMar>
          </w:tcPr>
          <w:p>
            <w:pPr>
              <w:spacing w:after="0"/>
            </w:pPr>
            <w:r>
              <w:rPr>
                <w:sz w:val="17"/>
              </w:rPr>
              <w:t>BVC-Physics-Model + BVC-Physics-Pipeline</w:t>
            </w:r>
          </w:p>
        </w:tc>
      </w:tr>
      <w:tr>
        <w:tc>
          <w:tcPr>
            <w:tcW w:type="dxa" w:w="4939"/>
            <w:shd w:fill="F8FAFB"/>
            <w:vAlign w:val="top"/>
            <w:tcMar>
              <w:top w:w="90" w:type="dxa"/>
              <w:start w:w="100" w:type="dxa"/>
              <w:bottom w:w="90" w:type="dxa"/>
              <w:end w:w="100" w:type="dxa"/>
            </w:tcMar>
          </w:tcPr>
          <w:p>
            <w:pPr>
              <w:spacing w:after="0"/>
            </w:pPr>
            <w:r>
              <w:rPr>
                <w:sz w:val="17"/>
              </w:rPr>
              <w:t>Add collision geometry/algorithm</w:t>
            </w:r>
          </w:p>
        </w:tc>
        <w:tc>
          <w:tcPr>
            <w:tcW w:type="dxa" w:w="4939"/>
            <w:shd w:fill="F8FAFB"/>
            <w:vAlign w:val="top"/>
            <w:tcMar>
              <w:top w:w="90" w:type="dxa"/>
              <w:start w:w="100" w:type="dxa"/>
              <w:bottom w:w="90" w:type="dxa"/>
              <w:end w:w="100" w:type="dxa"/>
            </w:tcMar>
          </w:tcPr>
          <w:p>
            <w:pPr>
              <w:spacing w:after="0"/>
            </w:pPr>
            <w:r>
              <w:rPr>
                <w:sz w:val="17"/>
              </w:rPr>
              <w:t>BVC-Physics-Model / BVC-Physics-Collision</w:t>
            </w:r>
          </w:p>
        </w:tc>
      </w:tr>
      <w:tr>
        <w:tc>
          <w:tcPr>
            <w:tcW w:type="dxa" w:w="4939"/>
            <w:vAlign w:val="top"/>
            <w:tcMar>
              <w:top w:w="90" w:type="dxa"/>
              <w:start w:w="100" w:type="dxa"/>
              <w:bottom w:w="90" w:type="dxa"/>
              <w:end w:w="100" w:type="dxa"/>
            </w:tcMar>
          </w:tcPr>
          <w:p>
            <w:pPr>
              <w:spacing w:after="0"/>
            </w:pPr>
            <w:r>
              <w:rPr>
                <w:sz w:val="17"/>
              </w:rPr>
              <w:t>Add ordered step work</w:t>
            </w:r>
          </w:p>
        </w:tc>
        <w:tc>
          <w:tcPr>
            <w:tcW w:type="dxa" w:w="4939"/>
            <w:vAlign w:val="top"/>
            <w:tcMar>
              <w:top w:w="90" w:type="dxa"/>
              <w:start w:w="100" w:type="dxa"/>
              <w:bottom w:w="90" w:type="dxa"/>
              <w:end w:w="100" w:type="dxa"/>
            </w:tcMar>
          </w:tcPr>
          <w:p>
            <w:pPr>
              <w:spacing w:after="0"/>
            </w:pPr>
            <w:r>
              <w:rPr>
                <w:sz w:val="17"/>
              </w:rPr>
              <w:t>BVC-Physics-Pipeline</w:t>
            </w:r>
          </w:p>
        </w:tc>
      </w:tr>
      <w:tr>
        <w:tc>
          <w:tcPr>
            <w:tcW w:type="dxa" w:w="4939"/>
            <w:shd w:fill="F8FAFB"/>
            <w:vAlign w:val="top"/>
            <w:tcMar>
              <w:top w:w="90" w:type="dxa"/>
              <w:start w:w="100" w:type="dxa"/>
              <w:bottom w:w="90" w:type="dxa"/>
              <w:end w:w="100" w:type="dxa"/>
            </w:tcMar>
          </w:tcPr>
          <w:p>
            <w:pPr>
              <w:spacing w:after="0"/>
            </w:pPr>
            <w:r>
              <w:rPr>
                <w:sz w:val="17"/>
              </w:rPr>
              <w:t>Add Bloc geometry/event integration</w:t>
            </w:r>
          </w:p>
        </w:tc>
        <w:tc>
          <w:tcPr>
            <w:tcW w:type="dxa" w:w="4939"/>
            <w:shd w:fill="F8FAFB"/>
            <w:vAlign w:val="top"/>
            <w:tcMar>
              <w:top w:w="90" w:type="dxa"/>
              <w:start w:w="100" w:type="dxa"/>
              <w:bottom w:w="90" w:type="dxa"/>
              <w:end w:w="100" w:type="dxa"/>
            </w:tcMar>
          </w:tcPr>
          <w:p>
            <w:pPr>
              <w:spacing w:after="0"/>
            </w:pPr>
            <w:r>
              <w:rPr>
                <w:sz w:val="17"/>
              </w:rPr>
              <w:t>BVC-Physics-Bloc</w:t>
            </w:r>
          </w:p>
        </w:tc>
      </w:tr>
      <w:tr>
        <w:tc>
          <w:tcPr>
            <w:tcW w:type="dxa" w:w="4939"/>
            <w:vAlign w:val="top"/>
            <w:tcMar>
              <w:top w:w="90" w:type="dxa"/>
              <w:start w:w="100" w:type="dxa"/>
              <w:bottom w:w="90" w:type="dxa"/>
              <w:end w:w="100" w:type="dxa"/>
            </w:tcMar>
          </w:tcPr>
          <w:p>
            <w:pPr>
              <w:spacing w:after="0"/>
            </w:pPr>
            <w:r>
              <w:rPr>
                <w:sz w:val="17"/>
              </w:rPr>
              <w:t>Add playback/presentation integration</w:t>
            </w:r>
          </w:p>
        </w:tc>
        <w:tc>
          <w:tcPr>
            <w:tcW w:type="dxa" w:w="4939"/>
            <w:vAlign w:val="top"/>
            <w:tcMar>
              <w:top w:w="90" w:type="dxa"/>
              <w:start w:w="100" w:type="dxa"/>
              <w:bottom w:w="90" w:type="dxa"/>
              <w:end w:w="100" w:type="dxa"/>
            </w:tcMar>
          </w:tcPr>
          <w:p>
            <w:pPr>
              <w:spacing w:after="0"/>
            </w:pPr>
            <w:r>
              <w:rPr>
                <w:sz w:val="17"/>
              </w:rPr>
              <w:t>BVC-Physics-Motion</w:t>
            </w:r>
          </w:p>
        </w:tc>
      </w:tr>
      <w:tr>
        <w:tc>
          <w:tcPr>
            <w:tcW w:type="dxa" w:w="4939"/>
            <w:shd w:fill="F8FAFB"/>
            <w:vAlign w:val="top"/>
            <w:tcMar>
              <w:top w:w="90" w:type="dxa"/>
              <w:start w:w="100" w:type="dxa"/>
              <w:bottom w:w="90" w:type="dxa"/>
              <w:end w:w="100" w:type="dxa"/>
            </w:tcMar>
          </w:tcPr>
          <w:p>
            <w:pPr>
              <w:spacing w:after="0"/>
            </w:pPr>
            <w:r>
              <w:rPr>
                <w:sz w:val="17"/>
              </w:rPr>
              <w:t>Add graph integration</w:t>
            </w:r>
          </w:p>
        </w:tc>
        <w:tc>
          <w:tcPr>
            <w:tcW w:type="dxa" w:w="4939"/>
            <w:shd w:fill="F8FAFB"/>
            <w:vAlign w:val="top"/>
            <w:tcMar>
              <w:top w:w="90" w:type="dxa"/>
              <w:start w:w="100" w:type="dxa"/>
              <w:bottom w:w="90" w:type="dxa"/>
              <w:end w:w="100" w:type="dxa"/>
            </w:tcMar>
          </w:tcPr>
          <w:p>
            <w:pPr>
              <w:spacing w:after="0"/>
            </w:pPr>
            <w:r>
              <w:rPr>
                <w:sz w:val="17"/>
              </w:rPr>
              <w:t>BVC-Physics-Mondrian</w:t>
            </w:r>
          </w:p>
        </w:tc>
      </w:tr>
      <w:tr>
        <w:tc>
          <w:tcPr>
            <w:tcW w:type="dxa" w:w="4939"/>
            <w:vAlign w:val="top"/>
            <w:tcMar>
              <w:top w:w="90" w:type="dxa"/>
              <w:start w:w="100" w:type="dxa"/>
              <w:bottom w:w="90" w:type="dxa"/>
              <w:end w:w="100" w:type="dxa"/>
            </w:tcMar>
          </w:tcPr>
          <w:p>
            <w:pPr>
              <w:spacing w:after="0"/>
            </w:pPr>
            <w:r>
              <w:rPr>
                <w:sz w:val="17"/>
              </w:rPr>
              <w:t>Add diagnostics/analysis</w:t>
            </w:r>
          </w:p>
        </w:tc>
        <w:tc>
          <w:tcPr>
            <w:tcW w:type="dxa" w:w="4939"/>
            <w:vAlign w:val="top"/>
            <w:tcMar>
              <w:top w:w="90" w:type="dxa"/>
              <w:start w:w="100" w:type="dxa"/>
              <w:bottom w:w="90" w:type="dxa"/>
              <w:end w:w="100" w:type="dxa"/>
            </w:tcMar>
          </w:tcPr>
          <w:p>
            <w:pPr>
              <w:spacing w:after="0"/>
            </w:pPr>
            <w:r>
              <w:rPr>
                <w:sz w:val="17"/>
              </w:rPr>
              <w:t>BVC-Physics-Tools</w:t>
            </w:r>
          </w:p>
        </w:tc>
      </w:tr>
    </w:tbl>
    <w:p>
      <w:pPr>
        <w:pStyle w:val="Heading1"/>
      </w:pPr>
      <w:r>
        <w:t>Adding a Behaviour</w:t>
      </w:r>
    </w:p>
    <w:p>
      <w:r>
        <w:t>Subclass CFPhysicsBehaviour when the feature coordinates existing Physics concepts across one target lifecycle.</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behaviour := MyPhysicsBehaviour new</w:t>
            </w:r>
            <w:r>
              <w:br/>
            </w:r>
            <w:r>
              <w:t xml:space="preserve">    target: anElement;</w:t>
            </w:r>
            <w:r>
              <w:br/>
            </w:r>
            <w:r>
              <w:t xml:space="preserve">    start.</w:t>
            </w:r>
            <w:r>
              <w:br/>
            </w:r>
            <w:r/>
            <w:r>
              <w:br/>
            </w:r>
            <w:r>
              <w:t>behaviour stop.</w:t>
            </w:r>
          </w:p>
        </w:tc>
      </w:tr>
    </w:tbl>
    <w:p>
      <w:r>
        <w:t>Implement step: for per-step orchestration. Keep configuration on the Behaviour and expose physicsBodies / physicsConstraints when the Behaviour has a useful diagnostic scope.</w:t>
      </w:r>
    </w:p>
    <w:p>
      <w:pPr>
        <w:pStyle w:val="ListBullet"/>
        <w:spacing w:after="50"/>
      </w:pPr>
      <w:r>
        <w:t>Resolve the world from the target through the standard lifecycle.</w:t>
      </w:r>
    </w:p>
    <w:p>
      <w:pPr>
        <w:pStyle w:val="ListBullet"/>
        <w:spacing w:after="50"/>
      </w:pPr>
      <w:r>
        <w:t>Create ordinary Physics forces, joints or other persistent resources when the feature needs stable physical state.</w:t>
      </w:r>
    </w:p>
    <w:p>
      <w:pPr>
        <w:pStyle w:val="ListBullet"/>
        <w:spacing w:after="50"/>
      </w:pPr>
      <w:r>
        <w:t>Release owned resources from the Behaviour stop/removal lifecycle.</w:t>
      </w:r>
    </w:p>
    <w:p>
      <w:pPr>
        <w:pStyle w:val="ListBullet"/>
        <w:spacing w:after="50"/>
      </w:pPr>
      <w:r>
        <w:t>Derive temporal work from the supplied Physics step.</w:t>
      </w:r>
    </w:p>
    <w:p>
      <w:pPr>
        <w:pStyle w:val="ListBullet"/>
        <w:spacing w:after="50"/>
      </w:pPr>
      <w:r>
        <w:t>Use deterministic participant ordering for result-sensitive work.</w:t>
      </w:r>
    </w:p>
    <w:p>
      <w:r>
        <w:t>Force-directed Behaviour is the reference design: it composes ordinary Physics mechanisms and exposes shared configuration for live control.</w:t>
      </w:r>
    </w:p>
    <w:p>
      <w:pPr>
        <w:pStyle w:val="Heading1"/>
      </w:pPr>
      <w:r>
        <w:t>Shared live configuration</w:t>
      </w:r>
    </w:p>
    <w:p>
      <w:r>
        <w:t>Use CFPhysicsSharedScalar for a scalar parameter shared by several physical consumers. The shared value is the update source, and consumers handle wake/update semantics through their own physical lifecycle.</w:t>
      </w:r>
    </w:p>
    <w:p>
      <w:r>
        <w:t>This pattern gives inspectors, application code and animated configuration the same physical response path.</w:t>
      </w:r>
    </w:p>
    <w:p>
      <w:pPr>
        <w:pStyle w:val="Heading1"/>
      </w:pPr>
      <w:r>
        <w:t>Adding a persistent force or interaction</w:t>
      </w:r>
    </w:p>
    <w:p>
      <w:r>
        <w:t>A persistent physical mechanism has stable identity and world-managed lifecycle. Define participants, physical units, configuration, deterministic ordering, wake semantics and a step application/preparation protocol consistent with existing forces.</w:t>
      </w:r>
    </w:p>
    <w:p>
      <w:pPr>
        <w:pStyle w:val="ListBullet"/>
        <w:spacing w:after="50"/>
      </w:pPr>
      <w:r>
        <w:t>Store the mechanism through the world ownership pattern used by existing forces/joints.</w:t>
      </w:r>
    </w:p>
    <w:p>
      <w:pPr>
        <w:pStyle w:val="ListBullet"/>
        <w:spacing w:after="50"/>
      </w:pPr>
      <w:r>
        <w:t>Connect body retirement to resource retirement.</w:t>
      </w:r>
    </w:p>
    <w:p>
      <w:pPr>
        <w:pStyle w:val="ListBullet"/>
        <w:spacing w:after="50"/>
      </w:pPr>
      <w:r>
        <w:t>Apply equal/opposite effects for pair interactions whose physical semantics require them.</w:t>
      </w:r>
    </w:p>
    <w:p>
      <w:pPr>
        <w:pStyle w:val="ListBullet"/>
        <w:spacing w:after="50"/>
      </w:pPr>
      <w:r>
        <w:t>Represent distance response through a CFPhysicsDistanceResponse subclass or existing response object.</w:t>
      </w:r>
    </w:p>
    <w:p>
      <w:pPr>
        <w:pStyle w:val="ListBullet"/>
        <w:spacing w:after="50"/>
      </w:pPr>
      <w:r>
        <w:t>Expose stable diagnostic state directly from the domain object.</w:t>
      </w:r>
    </w:p>
    <w:p>
      <w:pPr>
        <w:pStyle w:val="Heading1"/>
      </w:pPr>
      <w:r>
        <w:t>Adding a joint</w:t>
      </w:r>
    </w:p>
    <w:p>
      <w:r>
        <w:t>Start with the stable joint model. CFPhysicsJoint supplies shared lifecycle, ordering and connected-collision semantics; the concrete joint owns its bodies, geometry, configuration and accumulated impulses.</w:t>
      </w:r>
    </w:p>
    <w:p>
      <w:pPr>
        <w:spacing w:after="50"/>
        <w:ind w:left="346" w:hanging="259"/>
      </w:pPr>
      <w:r>
        <w:t>1.  Define bodies, anchors/axis, physical configuration and public units.</w:t>
      </w:r>
    </w:p>
    <w:p>
      <w:pPr>
        <w:spacing w:after="50"/>
        <w:ind w:left="346" w:hanging="259"/>
      </w:pPr>
      <w:r>
        <w:t>2.  Define validation, wake behaviour and removal lifecycle.</w:t>
      </w:r>
    </w:p>
    <w:p>
      <w:pPr>
        <w:spacing w:after="50"/>
        <w:ind w:left="346" w:hanging="259"/>
      </w:pPr>
      <w:r>
        <w:t>3.  Capture the joint state needed by the solver.</w:t>
      </w:r>
    </w:p>
    <w:p>
      <w:pPr>
        <w:spacing w:after="50"/>
        <w:ind w:left="346" w:hanging="259"/>
      </w:pPr>
      <w:r>
        <w:t>4.  Add a CFPhysicsPreparedJointConstraint subtype or the existing prepared form that matches the joint.</w:t>
      </w:r>
    </w:p>
    <w:p>
      <w:pPr>
        <w:spacing w:after="50"/>
        <w:ind w:left="346" w:hanging="259"/>
      </w:pPr>
      <w:r>
        <w:t>5.  Add the matching joint constraint builder.</w:t>
      </w:r>
    </w:p>
    <w:p>
      <w:pPr>
        <w:spacing w:after="50"/>
        <w:ind w:left="346" w:hanging="259"/>
      </w:pPr>
      <w:r>
        <w:t>6.  Connect the joint to island construction.</w:t>
      </w:r>
    </w:p>
    <w:p>
      <w:pPr>
        <w:spacing w:after="50"/>
        <w:ind w:left="346" w:hanging="259"/>
      </w:pPr>
      <w:r>
        <w:t>7.  Implement preparation and solve behaviour.</w:t>
      </w:r>
    </w:p>
    <w:p>
      <w:pPr>
        <w:spacing w:after="50"/>
        <w:ind w:left="346" w:hanging="259"/>
      </w:pPr>
      <w:r>
        <w:t>8.  Commit persistent impulses/state back to the stable joint.</w:t>
      </w:r>
    </w:p>
    <w:p>
      <w:pPr>
        <w:spacing w:after="50"/>
        <w:ind w:left="346" w:hanging="259"/>
      </w:pPr>
      <w:r>
        <w:t>9.  Cover collision suppression through collideConnected.</w:t>
      </w:r>
    </w:p>
    <w:p>
      <w:pPr>
        <w:spacing w:after="50"/>
        <w:ind w:left="346" w:hanging="259"/>
      </w:pPr>
      <w:r>
        <w:t>10.  Add diagnostic geometry and inspector content once solver semantics are stable.</w:t>
      </w:r>
    </w:p>
    <w:p>
      <w:r>
        <w:t>Public limits expressed as force or torque use the established MKS boundary and the world unit-conversion seam.</w:t>
      </w:r>
    </w:p>
    <w:p>
      <w:pPr>
        <w:pStyle w:val="Heading1"/>
      </w:pPr>
      <w:r>
        <w:t>Adding collision geometry</w:t>
      </w:r>
    </w:p>
    <w:p>
      <w:r>
        <w:t>CFPhysicsShapeState and captured geometry classes bridge Bloc element geometry into collision state. A new shape requires captured geometry, AABB support, mass/inertia contribution where applicable, support mapping where applicable, manifold generation, stable feature identity and continuous-collision participation.</w:t>
      </w:r>
    </w:p>
    <w:p>
      <w:r>
        <w:t>Extend CFPhysicsBlocGeometryBuilder / CFPhysicsManifoldGenerator for the corresponding concrete Bloc geometry. Keep the captured collision geometry as the solver input and use Bloc presentation geometry through the established adaptation seam.</w:t>
      </w:r>
    </w:p>
    <w:p>
      <w:pPr>
        <w:pStyle w:val="Heading1"/>
      </w:pPr>
      <w:r>
        <w:t>Adding a pipeline stage</w:t>
      </w:r>
    </w:p>
    <w:p>
      <w:r>
        <w:t>Subclass CFPhysicsStepStage for one coherent ordered step responsibility.</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executeOn: aStepResult</w:t>
            </w:r>
          </w:p>
        </w:tc>
      </w:tr>
    </w:tbl>
    <w:p>
      <w:r>
        <w:t>Place the stage according to the data it consumes and produces. Work with step-local state, preserve deterministic ordering and use the established commit boundary for live-world mutation.</w:t>
      </w:r>
    </w:p>
    <w:p>
      <w:r>
        <w:t>Add executeOnWithTelemetry: when the stage has a distinct telemetry wrapper. The telemetry path should wrap the same stage execution and preserve the direct normal execution path.</w:t>
      </w:r>
    </w:p>
    <w:p>
      <w:pPr>
        <w:pStyle w:val="Heading1"/>
      </w:pPr>
      <w:r>
        <w:t>Extending constraint preparation and solving</w:t>
      </w:r>
    </w:p>
    <w:p>
      <w:r>
        <w:t>Stable contacts and joints own public configuration and persistent solver state. Prepared constraints own step-local solver quantities.</w:t>
      </w:r>
    </w:p>
    <w:p>
      <w:pPr>
        <w:pStyle w:val="ListBullet"/>
        <w:spacing w:after="50"/>
      </w:pPr>
      <w:r>
        <w:t>Convert public configuration into prepared step quantities.</w:t>
      </w:r>
    </w:p>
    <w:p>
      <w:pPr>
        <w:pStyle w:val="ListBullet"/>
        <w:spacing w:after="50"/>
      </w:pPr>
      <w:r>
        <w:t>Carry warm-start impulses explicitly.</w:t>
      </w:r>
    </w:p>
    <w:p>
      <w:pPr>
        <w:pStyle w:val="ListBullet"/>
        <w:spacing w:after="50"/>
      </w:pPr>
      <w:r>
        <w:t>Use stable body/joint identity and deterministic ordering.</w:t>
      </w:r>
    </w:p>
    <w:p>
      <w:pPr>
        <w:pStyle w:val="ListBullet"/>
        <w:spacing w:after="50"/>
      </w:pPr>
      <w:r>
        <w:t>Keep public MKS quantities and solver substep quantities clearly separated.</w:t>
      </w:r>
    </w:p>
    <w:p>
      <w:pPr>
        <w:pStyle w:val="ListBullet"/>
        <w:spacing w:after="50"/>
      </w:pPr>
      <w:r>
        <w:t>Commit persistent impulses and state through the existing result/commit contract.</w:t>
      </w:r>
    </w:p>
    <w:p>
      <w:pPr>
        <w:pStyle w:val="Heading1"/>
      </w:pPr>
      <w:r>
        <w:t>Extending continuous collision</w:t>
      </w:r>
    </w:p>
    <w:p>
      <w:r>
        <w:t>Continuous collision extends the same fixed Physics step. Use captured sweeps, deterministic candidate ordering, earliest-impact selection, time-of-impact isolation, contact/filter/joint policy and remaining-time integration.</w:t>
      </w:r>
    </w:p>
    <w:p>
      <w:r>
        <w:t>Pair-time-of-impact, conservative advancement and continuous-step stages provide the current extension points for fast-body collision semantics.</w:t>
      </w:r>
    </w:p>
    <w:p>
      <w:pPr>
        <w:pStyle w:val="Heading1"/>
      </w:pPr>
      <w:r>
        <w:t>Sleeping and waking</w:t>
      </w:r>
    </w:p>
    <w:p>
      <w:r>
        <w:t>Sleeping belongs to bodies and connected islands. A physical configuration change should wake the affected body through the physical object that owns that configuration. Island/contact/joint connectivity supplies the propagation path for connected systems.</w:t>
      </w:r>
    </w:p>
    <w:p>
      <w:pPr>
        <w:pStyle w:val="Heading1"/>
      </w:pPr>
      <w:r>
        <w:t>Adapting Physics to Catalyst Motion</w:t>
      </w:r>
    </w:p>
    <w:p>
      <w:r>
        <w:t>Catalyst Motion supplies presentation cadence and playback lifecycle. Catalyst Physics supplies fixed-step simulation and interpolation state. CFPhysicsWorldMotionBehaviour is the reference adapter between them.</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Motion elapsed presentation time</w:t>
            </w:r>
            <w:r>
              <w:br/>
            </w:r>
            <w:r>
              <w:t xml:space="preserve">    -&gt; Physics accumulator</w:t>
            </w:r>
            <w:r>
              <w:br/>
            </w:r>
            <w:r>
              <w:t xml:space="preserve">    -&gt; fixed Physics steps</w:t>
            </w:r>
            <w:r>
              <w:br/>
            </w:r>
            <w:r>
              <w:t xml:space="preserve">    -&gt; interpolation alpha</w:t>
            </w:r>
          </w:p>
        </w:tc>
      </w:tr>
    </w:tbl>
    <w:p>
      <w:pPr>
        <w:pStyle w:val="ListBullet"/>
        <w:spacing w:after="50"/>
      </w:pPr>
      <w:r>
        <w:t>Keep fixed step duration and simulation state in Physics.</w:t>
      </w:r>
    </w:p>
    <w:p>
      <w:pPr>
        <w:pStyle w:val="ListBullet"/>
        <w:spacing w:after="50"/>
      </w:pPr>
      <w:r>
        <w:t>Use Motion evaluations as presentation-time input.</w:t>
      </w:r>
    </w:p>
    <w:p>
      <w:pPr>
        <w:pStyle w:val="ListBullet"/>
        <w:spacing w:after="50"/>
      </w:pPr>
      <w:r>
        <w:t>Preserve remainder in the Physics accumulator across presentation frames.</w:t>
      </w:r>
    </w:p>
    <w:p>
      <w:pPr>
        <w:pStyle w:val="ListBullet"/>
        <w:spacing w:after="50"/>
      </w:pPr>
      <w:r>
        <w:t>Present committed transforms through CFPhysicsWorldPresentation.</w:t>
      </w:r>
    </w:p>
    <w:p>
      <w:pPr>
        <w:pStyle w:val="ListBullet"/>
        <w:spacing w:after="50"/>
      </w:pPr>
      <w:r>
        <w:t>Pair playback resources with the CFPhysicsWorldPlayback lifecycle.</w:t>
      </w:r>
    </w:p>
    <w:p>
      <w:pPr>
        <w:pStyle w:val="ListBullet"/>
        <w:spacing w:after="50"/>
      </w:pPr>
      <w:r>
        <w:t>Respect foreground/background shared-pipeline ownership.</w:t>
      </w:r>
    </w:p>
    <w:p>
      <w:pPr>
        <w:pStyle w:val="Heading1"/>
      </w:pPr>
      <w:r>
        <w:t>Extending background execution</w:t>
      </w:r>
    </w:p>
    <w:p>
      <w:r>
        <w:t>Background execution uses the same captured state and CFPhysicsStepPipeline as foreground execution. Preserve one solve in flight, explicit pipeline ownership, solve-ticket validity, lifetime/topology validation and UI-side commit/reconciliation.</w:t>
      </w:r>
    </w:p>
    <w:p>
      <w:r>
        <w:t>A new scheduling optimisation should plug into this ownership model while preserving the same fixed-step result contract.</w:t>
      </w:r>
    </w:p>
    <w:p>
      <w:pPr>
        <w:pStyle w:val="Heading1"/>
      </w:pPr>
      <w:r>
        <w:t>Extending Mondrian integration</w:t>
      </w:r>
    </w:p>
    <w:p>
      <w:r>
        <w:t>Mondrian owns graph topology and graph interaction. Physics owns bodies, joints, forces and Behaviours. Catalyst Motion owns temporal presentation. A Mondrian adapter supplies the graph elements and topology required by the physical Behaviour and uses the existing canvassable coordinate seam.</w:t>
      </w:r>
    </w:p>
    <w:p>
      <w:pPr>
        <w:pStyle w:val="Heading1"/>
      </w:pPr>
      <w:r>
        <w:t>Adding an overlay diagnostic</w:t>
      </w:r>
    </w:p>
    <w:p>
      <w:r>
        <w:t>Choose the diagnostic source first: a stable world/domain object or committed transient contact/visual state. Give one concrete overlay/visual owner responsibility for retained visual identity and lifecycle.</w:t>
      </w:r>
    </w:p>
    <w:p>
      <w:pPr>
        <w:spacing w:after="50"/>
        <w:ind w:left="346" w:hanging="259"/>
      </w:pPr>
      <w:r>
        <w:t>1.  Create or retain visuals for the represented objects.</w:t>
      </w:r>
    </w:p>
    <w:p>
      <w:pPr>
        <w:spacing w:after="50"/>
        <w:ind w:left="346" w:hanging="259"/>
      </w:pPr>
      <w:r>
        <w:t>2.  Reconcile membership when the represented set changes.</w:t>
      </w:r>
    </w:p>
    <w:p>
      <w:pPr>
        <w:spacing w:after="50"/>
        <w:ind w:left="346" w:hanging="259"/>
      </w:pPr>
      <w:r>
        <w:t>3.  Update geometry and state in place.</w:t>
      </w:r>
    </w:p>
    <w:p>
      <w:pPr>
        <w:spacing w:after="50"/>
        <w:ind w:left="346" w:hanging="259"/>
      </w:pPr>
      <w:r>
        <w:t>4.  Release visuals when the diagnostic is disabled or removed.</w:t>
      </w:r>
    </w:p>
    <w:p>
      <w:pPr>
        <w:spacing w:after="50"/>
        <w:ind w:left="346" w:hanging="259"/>
      </w:pPr>
      <w:r>
        <w:t>5.  Refresh from relevant simulation, presentation or camera changes.</w:t>
      </w:r>
    </w:p>
    <w:p>
      <w:pPr>
        <w:spacing w:after="50"/>
        <w:ind w:left="346" w:hanging="259"/>
      </w:pPr>
      <w:r>
        <w:t>6.  Map body-owned points through the displayed body presentation and world-owned points through the host conversion path.</w:t>
      </w:r>
    </w:p>
    <w:p>
      <w:pPr>
        <w:spacing w:after="50"/>
        <w:ind w:left="346" w:hanging="259"/>
      </w:pPr>
      <w:r>
        <w:t>7.  Expose selection and inspection through the diagnostic layer.</w:t>
      </w:r>
    </w:p>
    <w:p>
      <w:r>
        <w:t>Filter state should gate the corresponding diagnostic work, keeping hidden diagnostics computationally quiet.</w:t>
      </w:r>
    </w:p>
    <w:p>
      <w:pPr>
        <w:pStyle w:val="Heading1"/>
      </w:pPr>
      <w:r>
        <w:t>Extending telemetry</w:t>
      </w:r>
    </w:p>
    <w:p>
      <w:r>
        <w:t>Telemetry measures the existing simulation path. Add a measurement around a meaningful world or pipeline unit, source counts from the step result/state, and expose the result through the existing logger/ring-buffer/analysis path.</w:t>
      </w:r>
    </w:p>
    <w:p>
      <w:r>
        <w:t>Keep ordinary execution direct and let the telemetry path add measurement around the same work. This preserves behavioural equivalence between measured and ordinary stepping.</w:t>
      </w:r>
    </w:p>
    <w:p>
      <w:pPr>
        <w:pStyle w:val="Heading1"/>
      </w:pPr>
      <w:r>
        <w:t>Adding public API</w:t>
      </w:r>
    </w:p>
    <w:p>
      <w:r>
        <w:t>Prefer BlElement&gt;&gt;physics and CFPhysics for common application operations. Add façade selectors that express physical intent and hide internal body lookup or integration plumbing.</w:t>
      </w:r>
    </w:p>
    <w:p>
      <w:r>
        <w:t>Return stable domain objects when callers benefit from configuring or retaining them, as with joints and forces. Keep pipeline stages, prepared constraints, capture objects and background-step machinery as architectural/runtime surfaces.</w:t>
      </w:r>
    </w:p>
    <w:p>
      <w:r>
        <w:t>Use ordinary Smalltalk selectors with intent-revealing names. Project prefixes belong on class names and package names; method names read as normal Smalltalk APIs.</w:t>
      </w:r>
    </w:p>
    <w:p>
      <w:pPr>
        <w:pStyle w:val="Heading1"/>
      </w:pPr>
      <w:r>
        <w:t>Units</w:t>
      </w:r>
    </w:p>
    <w:p>
      <w:r>
        <w:t>Define the physical unit of every new public quantity. Use kilograms, metres, seconds, newtons, N·m and the corresponding impulse units at the public boundary. Convert through lengthUnitsPerMetre at the physical/solver seam.</w:t>
      </w:r>
    </w:p>
    <w:p>
      <w:pPr>
        <w:pStyle w:val="Heading1"/>
      </w:pPr>
      <w:r>
        <w:t>Lifecycle</w:t>
      </w:r>
    </w:p>
    <w:p>
      <w:r>
        <w:t>Every persistent extension has one clear owner and one clear termination path. Trace creation, storage, body retirement, world release, Behaviour stop, captured/background lifetime and diagnostic retention as part of the design.</w:t>
      </w:r>
    </w:p>
    <w:p>
      <w:r>
        <w:t>Use the established remove, stop and release protocols according to the kind of object being extended.</w:t>
      </w:r>
    </w:p>
    <w:p>
      <w:pPr>
        <w:pStyle w:val="Heading1"/>
      </w:pPr>
      <w:r>
        <w:t>Testing</w:t>
      </w:r>
    </w:p>
    <w:p>
      <w:r>
        <w:t>Test the physical contract at the lowest meaningful level and add integration coverage when ownership crosses packages.</w:t>
      </w:r>
    </w:p>
    <w:p>
      <w:pPr>
        <w:pStyle w:val="ListBullet"/>
        <w:spacing w:after="50"/>
      </w:pPr>
      <w:r>
        <w:t>Deterministic ordering and repeatable outcomes.</w:t>
      </w:r>
    </w:p>
    <w:p>
      <w:pPr>
        <w:pStyle w:val="ListBullet"/>
        <w:spacing w:after="50"/>
      </w:pPr>
      <w:r>
        <w:t>Physical units and conversion boundaries.</w:t>
      </w:r>
    </w:p>
    <w:p>
      <w:pPr>
        <w:pStyle w:val="ListBullet"/>
        <w:spacing w:after="50"/>
      </w:pPr>
      <w:r>
        <w:t>Wake/sleep behaviour.</w:t>
      </w:r>
    </w:p>
    <w:p>
      <w:pPr>
        <w:pStyle w:val="ListBullet"/>
        <w:spacing w:after="50"/>
      </w:pPr>
      <w:r>
        <w:t>Lifecycle cleanup and body retirement.</w:t>
      </w:r>
    </w:p>
    <w:p>
      <w:pPr>
        <w:pStyle w:val="ListBullet"/>
        <w:spacing w:after="50"/>
      </w:pPr>
      <w:r>
        <w:t>Contact/joint persistence.</w:t>
      </w:r>
    </w:p>
    <w:p>
      <w:pPr>
        <w:pStyle w:val="ListBullet"/>
        <w:spacing w:after="50"/>
      </w:pPr>
      <w:r>
        <w:t>Continuous collision where relevant.</w:t>
      </w:r>
    </w:p>
    <w:p>
      <w:pPr>
        <w:pStyle w:val="ListBullet"/>
        <w:spacing w:after="50"/>
      </w:pPr>
      <w:r>
        <w:t>Foreground/background equivalence.</w:t>
      </w:r>
    </w:p>
    <w:p>
      <w:pPr>
        <w:pStyle w:val="ListBullet"/>
        <w:spacing w:after="50"/>
      </w:pPr>
      <w:r>
        <w:t>Coordinate correctness.</w:t>
      </w:r>
    </w:p>
    <w:p>
      <w:pPr>
        <w:pStyle w:val="ListBullet"/>
        <w:spacing w:after="50"/>
      </w:pPr>
      <w:r>
        <w:t>Telemetry and overlay cost gating for tooling changes.</w:t>
      </w:r>
    </w:p>
    <w:p>
      <w:r>
        <w:t>Examples teach the intended public API. Tests assert observable behaviour and release-significant ownership semantics.</w:t>
      </w:r>
    </w:p>
    <w:p>
      <w:pPr>
        <w:pStyle w:val="Heading1"/>
      </w:pPr>
      <w:r>
        <w:t>Package placement</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Responsibility</w:t>
            </w:r>
          </w:p>
        </w:tc>
        <w:tc>
          <w:tcPr>
            <w:tcW w:type="dxa" w:w="4939"/>
            <w:shd w:fill="18324A"/>
            <w:vAlign w:val="center"/>
            <w:tcMar>
              <w:top w:w="90" w:type="dxa"/>
              <w:start w:w="100" w:type="dxa"/>
              <w:bottom w:w="90" w:type="dxa"/>
              <w:end w:w="100" w:type="dxa"/>
            </w:tcMar>
          </w:tcPr>
          <w:p>
            <w:r>
              <w:rPr>
                <w:b/>
                <w:color w:val="FFFFFF"/>
                <w:sz w:val="18"/>
              </w:rPr>
              <w:t>Package</w:t>
            </w:r>
          </w:p>
        </w:tc>
      </w:tr>
      <w:tr>
        <w:tc>
          <w:tcPr>
            <w:tcW w:type="dxa" w:w="4939"/>
            <w:vAlign w:val="top"/>
            <w:tcMar>
              <w:top w:w="90" w:type="dxa"/>
              <w:start w:w="100" w:type="dxa"/>
              <w:bottom w:w="90" w:type="dxa"/>
              <w:end w:w="100" w:type="dxa"/>
            </w:tcMar>
          </w:tcPr>
          <w:p>
            <w:pPr>
              <w:spacing w:after="0"/>
            </w:pPr>
            <w:r>
              <w:rPr>
                <w:sz w:val="17"/>
              </w:rPr>
              <w:t>Stable physical concepts</w:t>
            </w:r>
          </w:p>
        </w:tc>
        <w:tc>
          <w:tcPr>
            <w:tcW w:type="dxa" w:w="4939"/>
            <w:vAlign w:val="top"/>
            <w:tcMar>
              <w:top w:w="90" w:type="dxa"/>
              <w:start w:w="100" w:type="dxa"/>
              <w:bottom w:w="90" w:type="dxa"/>
              <w:end w:w="100" w:type="dxa"/>
            </w:tcMar>
          </w:tcPr>
          <w:p>
            <w:pPr>
              <w:spacing w:after="0"/>
            </w:pPr>
            <w:r>
              <w:rPr>
                <w:sz w:val="17"/>
              </w:rPr>
              <w:t>BVC-Physics-Model</w:t>
            </w:r>
          </w:p>
        </w:tc>
      </w:tr>
      <w:tr>
        <w:tc>
          <w:tcPr>
            <w:tcW w:type="dxa" w:w="4939"/>
            <w:shd w:fill="F8FAFB"/>
            <w:vAlign w:val="top"/>
            <w:tcMar>
              <w:top w:w="90" w:type="dxa"/>
              <w:start w:w="100" w:type="dxa"/>
              <w:bottom w:w="90" w:type="dxa"/>
              <w:end w:w="100" w:type="dxa"/>
            </w:tcMar>
          </w:tcPr>
          <w:p>
            <w:pPr>
              <w:spacing w:after="0"/>
            </w:pPr>
            <w:r>
              <w:rPr>
                <w:sz w:val="17"/>
              </w:rPr>
              <w:t>Collision algorithms and geometry</w:t>
            </w:r>
          </w:p>
        </w:tc>
        <w:tc>
          <w:tcPr>
            <w:tcW w:type="dxa" w:w="4939"/>
            <w:shd w:fill="F8FAFB"/>
            <w:vAlign w:val="top"/>
            <w:tcMar>
              <w:top w:w="90" w:type="dxa"/>
              <w:start w:w="100" w:type="dxa"/>
              <w:bottom w:w="90" w:type="dxa"/>
              <w:end w:w="100" w:type="dxa"/>
            </w:tcMar>
          </w:tcPr>
          <w:p>
            <w:pPr>
              <w:spacing w:after="0"/>
            </w:pPr>
            <w:r>
              <w:rPr>
                <w:sz w:val="17"/>
              </w:rPr>
              <w:t>BVC-Physics-Collision</w:t>
            </w:r>
          </w:p>
        </w:tc>
      </w:tr>
      <w:tr>
        <w:tc>
          <w:tcPr>
            <w:tcW w:type="dxa" w:w="4939"/>
            <w:vAlign w:val="top"/>
            <w:tcMar>
              <w:top w:w="90" w:type="dxa"/>
              <w:start w:w="100" w:type="dxa"/>
              <w:bottom w:w="90" w:type="dxa"/>
              <w:end w:w="100" w:type="dxa"/>
            </w:tcMar>
          </w:tcPr>
          <w:p>
            <w:pPr>
              <w:spacing w:after="0"/>
            </w:pPr>
            <w:r>
              <w:rPr>
                <w:sz w:val="17"/>
              </w:rPr>
              <w:t>Ordered step execution and solver forms</w:t>
            </w:r>
          </w:p>
        </w:tc>
        <w:tc>
          <w:tcPr>
            <w:tcW w:type="dxa" w:w="4939"/>
            <w:vAlign w:val="top"/>
            <w:tcMar>
              <w:top w:w="90" w:type="dxa"/>
              <w:start w:w="100" w:type="dxa"/>
              <w:bottom w:w="90" w:type="dxa"/>
              <w:end w:w="100" w:type="dxa"/>
            </w:tcMar>
          </w:tcPr>
          <w:p>
            <w:pPr>
              <w:spacing w:after="0"/>
            </w:pPr>
            <w:r>
              <w:rPr>
                <w:sz w:val="17"/>
              </w:rPr>
              <w:t>BVC-Physics-Pipeline</w:t>
            </w:r>
          </w:p>
        </w:tc>
      </w:tr>
      <w:tr>
        <w:tc>
          <w:tcPr>
            <w:tcW w:type="dxa" w:w="4939"/>
            <w:shd w:fill="F8FAFB"/>
            <w:vAlign w:val="top"/>
            <w:tcMar>
              <w:top w:w="90" w:type="dxa"/>
              <w:start w:w="100" w:type="dxa"/>
              <w:bottom w:w="90" w:type="dxa"/>
              <w:end w:w="100" w:type="dxa"/>
            </w:tcMar>
          </w:tcPr>
          <w:p>
            <w:pPr>
              <w:spacing w:after="0"/>
            </w:pPr>
            <w:r>
              <w:rPr>
                <w:sz w:val="17"/>
              </w:rPr>
              <w:t>Bloc geometry/events/interaction adaptation</w:t>
            </w:r>
          </w:p>
        </w:tc>
        <w:tc>
          <w:tcPr>
            <w:tcW w:type="dxa" w:w="4939"/>
            <w:shd w:fill="F8FAFB"/>
            <w:vAlign w:val="top"/>
            <w:tcMar>
              <w:top w:w="90" w:type="dxa"/>
              <w:start w:w="100" w:type="dxa"/>
              <w:bottom w:w="90" w:type="dxa"/>
              <w:end w:w="100" w:type="dxa"/>
            </w:tcMar>
          </w:tcPr>
          <w:p>
            <w:pPr>
              <w:spacing w:after="0"/>
            </w:pPr>
            <w:r>
              <w:rPr>
                <w:sz w:val="17"/>
              </w:rPr>
              <w:t>BVC-Physics-Bloc</w:t>
            </w:r>
          </w:p>
        </w:tc>
      </w:tr>
      <w:tr>
        <w:tc>
          <w:tcPr>
            <w:tcW w:type="dxa" w:w="4939"/>
            <w:vAlign w:val="top"/>
            <w:tcMar>
              <w:top w:w="90" w:type="dxa"/>
              <w:start w:w="100" w:type="dxa"/>
              <w:bottom w:w="90" w:type="dxa"/>
              <w:end w:w="100" w:type="dxa"/>
            </w:tcMar>
          </w:tcPr>
          <w:p>
            <w:pPr>
              <w:spacing w:after="0"/>
            </w:pPr>
            <w:r>
              <w:rPr>
                <w:sz w:val="17"/>
              </w:rPr>
              <w:t>World and façade authority</w:t>
            </w:r>
          </w:p>
        </w:tc>
        <w:tc>
          <w:tcPr>
            <w:tcW w:type="dxa" w:w="4939"/>
            <w:vAlign w:val="top"/>
            <w:tcMar>
              <w:top w:w="90" w:type="dxa"/>
              <w:start w:w="100" w:type="dxa"/>
              <w:bottom w:w="90" w:type="dxa"/>
              <w:end w:w="100" w:type="dxa"/>
            </w:tcMar>
          </w:tcPr>
          <w:p>
            <w:pPr>
              <w:spacing w:after="0"/>
            </w:pPr>
            <w:r>
              <w:rPr>
                <w:sz w:val="17"/>
              </w:rPr>
              <w:t>BVC-Physics-Core</w:t>
            </w:r>
          </w:p>
        </w:tc>
      </w:tr>
      <w:tr>
        <w:tc>
          <w:tcPr>
            <w:tcW w:type="dxa" w:w="4939"/>
            <w:shd w:fill="F8FAFB"/>
            <w:vAlign w:val="top"/>
            <w:tcMar>
              <w:top w:w="90" w:type="dxa"/>
              <w:start w:w="100" w:type="dxa"/>
              <w:bottom w:w="90" w:type="dxa"/>
              <w:end w:w="100" w:type="dxa"/>
            </w:tcMar>
          </w:tcPr>
          <w:p>
            <w:pPr>
              <w:spacing w:after="0"/>
            </w:pPr>
            <w:r>
              <w:rPr>
                <w:sz w:val="17"/>
              </w:rPr>
              <w:t>Physical orchestration</w:t>
            </w:r>
          </w:p>
        </w:tc>
        <w:tc>
          <w:tcPr>
            <w:tcW w:type="dxa" w:w="4939"/>
            <w:shd w:fill="F8FAFB"/>
            <w:vAlign w:val="top"/>
            <w:tcMar>
              <w:top w:w="90" w:type="dxa"/>
              <w:start w:w="100" w:type="dxa"/>
              <w:bottom w:w="90" w:type="dxa"/>
              <w:end w:w="100" w:type="dxa"/>
            </w:tcMar>
          </w:tcPr>
          <w:p>
            <w:pPr>
              <w:spacing w:after="0"/>
            </w:pPr>
            <w:r>
              <w:rPr>
                <w:sz w:val="17"/>
              </w:rPr>
              <w:t>BVC-Physics-Behaviours</w:t>
            </w:r>
          </w:p>
        </w:tc>
      </w:tr>
      <w:tr>
        <w:tc>
          <w:tcPr>
            <w:tcW w:type="dxa" w:w="4939"/>
            <w:vAlign w:val="top"/>
            <w:tcMar>
              <w:top w:w="90" w:type="dxa"/>
              <w:start w:w="100" w:type="dxa"/>
              <w:bottom w:w="90" w:type="dxa"/>
              <w:end w:w="100" w:type="dxa"/>
            </w:tcMar>
          </w:tcPr>
          <w:p>
            <w:pPr>
              <w:spacing w:after="0"/>
            </w:pPr>
            <w:r>
              <w:rPr>
                <w:sz w:val="17"/>
              </w:rPr>
              <w:t>Catalyst Motion adapter and presentation</w:t>
            </w:r>
          </w:p>
        </w:tc>
        <w:tc>
          <w:tcPr>
            <w:tcW w:type="dxa" w:w="4939"/>
            <w:vAlign w:val="top"/>
            <w:tcMar>
              <w:top w:w="90" w:type="dxa"/>
              <w:start w:w="100" w:type="dxa"/>
              <w:bottom w:w="90" w:type="dxa"/>
              <w:end w:w="100" w:type="dxa"/>
            </w:tcMar>
          </w:tcPr>
          <w:p>
            <w:pPr>
              <w:spacing w:after="0"/>
            </w:pPr>
            <w:r>
              <w:rPr>
                <w:sz w:val="17"/>
              </w:rPr>
              <w:t>BVC-Physics-Motion</w:t>
            </w:r>
          </w:p>
        </w:tc>
      </w:tr>
      <w:tr>
        <w:tc>
          <w:tcPr>
            <w:tcW w:type="dxa" w:w="4939"/>
            <w:shd w:fill="F8FAFB"/>
            <w:vAlign w:val="top"/>
            <w:tcMar>
              <w:top w:w="90" w:type="dxa"/>
              <w:start w:w="100" w:type="dxa"/>
              <w:bottom w:w="90" w:type="dxa"/>
              <w:end w:w="100" w:type="dxa"/>
            </w:tcMar>
          </w:tcPr>
          <w:p>
            <w:pPr>
              <w:spacing w:after="0"/>
            </w:pPr>
            <w:r>
              <w:rPr>
                <w:sz w:val="17"/>
              </w:rPr>
              <w:t>Diagnostics and analysis</w:t>
            </w:r>
          </w:p>
        </w:tc>
        <w:tc>
          <w:tcPr>
            <w:tcW w:type="dxa" w:w="4939"/>
            <w:shd w:fill="F8FAFB"/>
            <w:vAlign w:val="top"/>
            <w:tcMar>
              <w:top w:w="90" w:type="dxa"/>
              <w:start w:w="100" w:type="dxa"/>
              <w:bottom w:w="90" w:type="dxa"/>
              <w:end w:w="100" w:type="dxa"/>
            </w:tcMar>
          </w:tcPr>
          <w:p>
            <w:pPr>
              <w:spacing w:after="0"/>
            </w:pPr>
            <w:r>
              <w:rPr>
                <w:sz w:val="17"/>
              </w:rPr>
              <w:t>BVC-Physics-Tools</w:t>
            </w:r>
          </w:p>
        </w:tc>
      </w:tr>
      <w:tr>
        <w:tc>
          <w:tcPr>
            <w:tcW w:type="dxa" w:w="4939"/>
            <w:vAlign w:val="top"/>
            <w:tcMar>
              <w:top w:w="90" w:type="dxa"/>
              <w:start w:w="100" w:type="dxa"/>
              <w:bottom w:w="90" w:type="dxa"/>
              <w:end w:w="100" w:type="dxa"/>
            </w:tcMar>
          </w:tcPr>
          <w:p>
            <w:pPr>
              <w:spacing w:after="0"/>
            </w:pPr>
            <w:r>
              <w:rPr>
                <w:sz w:val="17"/>
              </w:rPr>
              <w:t>Graph integration</w:t>
            </w:r>
          </w:p>
        </w:tc>
        <w:tc>
          <w:tcPr>
            <w:tcW w:type="dxa" w:w="4939"/>
            <w:vAlign w:val="top"/>
            <w:tcMar>
              <w:top w:w="90" w:type="dxa"/>
              <w:start w:w="100" w:type="dxa"/>
              <w:bottom w:w="90" w:type="dxa"/>
              <w:end w:w="100" w:type="dxa"/>
            </w:tcMar>
          </w:tcPr>
          <w:p>
            <w:pPr>
              <w:spacing w:after="0"/>
            </w:pPr>
            <w:r>
              <w:rPr>
                <w:sz w:val="17"/>
              </w:rPr>
              <w:t>BVC-Physics-Mondrian</w:t>
            </w:r>
          </w:p>
        </w:tc>
      </w:tr>
      <w:tr>
        <w:tc>
          <w:tcPr>
            <w:tcW w:type="dxa" w:w="4939"/>
            <w:shd w:fill="F8FAFB"/>
            <w:vAlign w:val="top"/>
            <w:tcMar>
              <w:top w:w="90" w:type="dxa"/>
              <w:start w:w="100" w:type="dxa"/>
              <w:bottom w:w="90" w:type="dxa"/>
              <w:end w:w="100" w:type="dxa"/>
            </w:tcMar>
          </w:tcPr>
          <w:p>
            <w:pPr>
              <w:spacing w:after="0"/>
            </w:pPr>
            <w:r>
              <w:rPr>
                <w:sz w:val="17"/>
              </w:rPr>
              <w:t>Demonstrations</w:t>
            </w:r>
          </w:p>
        </w:tc>
        <w:tc>
          <w:tcPr>
            <w:tcW w:type="dxa" w:w="4939"/>
            <w:shd w:fill="F8FAFB"/>
            <w:vAlign w:val="top"/>
            <w:tcMar>
              <w:top w:w="90" w:type="dxa"/>
              <w:start w:w="100" w:type="dxa"/>
              <w:bottom w:w="90" w:type="dxa"/>
              <w:end w:w="100" w:type="dxa"/>
            </w:tcMar>
          </w:tcPr>
          <w:p>
            <w:pPr>
              <w:spacing w:after="0"/>
            </w:pPr>
            <w:r>
              <w:rPr>
                <w:sz w:val="17"/>
              </w:rPr>
              <w:t>BVC-Physics-Examples</w:t>
            </w:r>
          </w:p>
        </w:tc>
      </w:tr>
      <w:tr>
        <w:tc>
          <w:tcPr>
            <w:tcW w:type="dxa" w:w="4939"/>
            <w:vAlign w:val="top"/>
            <w:tcMar>
              <w:top w:w="90" w:type="dxa"/>
              <w:start w:w="100" w:type="dxa"/>
              <w:bottom w:w="90" w:type="dxa"/>
              <w:end w:w="100" w:type="dxa"/>
            </w:tcMar>
          </w:tcPr>
          <w:p>
            <w:pPr>
              <w:spacing w:after="0"/>
            </w:pPr>
            <w:r>
              <w:rPr>
                <w:sz w:val="17"/>
              </w:rPr>
              <w:t>Executable contracts</w:t>
            </w:r>
          </w:p>
        </w:tc>
        <w:tc>
          <w:tcPr>
            <w:tcW w:type="dxa" w:w="4939"/>
            <w:vAlign w:val="top"/>
            <w:tcMar>
              <w:top w:w="90" w:type="dxa"/>
              <w:start w:w="100" w:type="dxa"/>
              <w:bottom w:w="90" w:type="dxa"/>
              <w:end w:w="100" w:type="dxa"/>
            </w:tcMar>
          </w:tcPr>
          <w:p>
            <w:pPr>
              <w:spacing w:after="0"/>
            </w:pPr>
            <w:r>
              <w:rPr>
                <w:sz w:val="17"/>
              </w:rPr>
              <w:t>BVC-Physics-Tests-*</w:t>
            </w:r>
          </w:p>
        </w:tc>
      </w:tr>
    </w:tbl>
    <w:p>
      <w:r>
        <w:t>A feature that spans layers should keep each responsibility in its owning layer and connect those parts through the existing domain contracts.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A7480"/>
        <w:sz w:val="17"/>
      </w:rPr>
      <w:t>Catalyst Physics - Extending  |  Catalyst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97C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197C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317" w:right="173"/>
    </w:pPr>
    <w:rPr>
      <w:rFonts w:ascii="Liberation Mono" w:hAnsi="Liberation Mono"/>
      <w:color w:val="202A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