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GT Motion</w:t>
        <w:br/>
        <w:t>Codex Handover</w:t>
      </w:r>
    </w:p>
    <w:p>
      <w:pPr>
        <w:pStyle w:val="Subtitle"/>
      </w:pPr>
      <w:r>
        <w:t>Context, decisions, implementation status and working guidance for continuing the framework</w:t>
      </w:r>
    </w:p>
    <w:p>
      <w:pPr>
        <w:pStyle w:val="Heading1"/>
      </w:pPr>
      <w:r>
        <w:t>Current handover — 17 July 2026</w:t>
      </w:r>
    </w:p>
    <w:p>
      <w:pPr/>
      <w:r>
        <w:t>This section is the authoritative handover point for the next chat. It supersedes the 16 July implementation update and the older roadmap below wherever they differ. Source and executable examples remain the truth for implemented behaviour.</w:t>
      </w:r>
    </w:p>
    <w:p>
      <w:pPr>
        <w:pStyle w:val="Heading2"/>
      </w:pPr>
      <w:r>
        <w:t>Confirmed public model</w:t>
      </w:r>
    </w:p>
    <w:p>
      <w:pPr/>
      <w:r>
        <w:t>CFMotion is the one live running Motion. CFMotionBuilder is the common configuration and construction surface: it holds the element, duration, easing and other settings shared by every Motion, then builds a CFMotion.</w:t>
      </w:r>
    </w:p>
    <w:p>
      <w:pPr/>
      <w:r>
        <w:t>A simple named request builds and starts synchronously: element motion fadeOut. A customised named request uses an ordinary Smalltalk block as an explicit configuration boundary: element motion fadeIn: [ :builder | builder duration: 500 milliSeconds ]. Motion builds and starts immediately when that block returns. The block is not a framework object or an event handler.</w:t>
      </w:r>
    </w:p>
    <w:p>
      <w:pPr/>
      <w:r>
        <w:t>Named motions that have extra vocabulary use the appropriate configuration builder. Common settings such as duration: and easing: are shared; behaviour-specific settings such as distance:, bounciness: and colourShift: belong only to the builder for the named motion that understands them. Do not put every possible option on the generic builder.</w:t>
      </w:r>
    </w:p>
    <w:p>
      <w:pPr/>
      <w:r>
        <w:t>A complex custom Motion remains explicit and synchronous: configure an element-bound builder, send build to receive a CFMotion, then send start. Do not use a next-frame or end-of-cascade auto-start mechanism; Smalltalk has no reliable end-of-cascade boundary.</w:t>
      </w:r>
    </w:p>
    <w:p>
      <w:pPr>
        <w:pStyle w:val="Heading2"/>
      </w:pPr>
      <w:r>
        <w:t>Current implementation status</w:t>
      </w:r>
    </w:p>
    <w:p>
      <w:pPr/>
      <w:r>
        <w:t>This API direction is agreed design, not yet implemented source. The current source still exposes CFMotionBuilder from element motion and requires explicit construction/start for ordinary custom Motion. Do not claim the no-argument or block-form named API is loaded until focused executable examples prove it.</w:t>
      </w:r>
    </w:p>
    <w:p>
      <w:pPr/>
      <w:r>
        <w:t>The existing live gallery is intentionally not the model to preserve. It uses gallery-owned click handlers and current-Motion state to replay demonstrations. Rebuild it only after the public API exists: each Lepiter snippet must obtain its visual fixture from CFMotionGalleryExamples, issue one public Motion request, and return the visual. Users must never write handlers or retain current Motion state merely to use Motion.</w:t>
      </w:r>
    </w:p>
    <w:p>
      <w:pPr>
        <w:pStyle w:val="Heading2"/>
      </w:pPr>
      <w:r>
        <w:t>Naming and next-session discipline</w:t>
      </w:r>
    </w:p>
    <w:p>
      <w:pPr/>
      <w:r>
        <w:t>Do not invent names. Before adding a specialised configuration builder or any new public selector, state its role and proposed name and obtain approval. Avoid the words recipe and catalogue. Do not extend CFMotionEffectRecipe or treat effects as the public abstraction.</w:t>
      </w:r>
    </w:p>
    <w:p>
      <w:pPr/>
      <w:r>
        <w:t>Next session: first agree the concrete builder names needed for the approved model; then implement focused examples for direct named motion, block configuration, complex explicit build/start, attachment and cancellation; run the full Foundation example suite in GT; commit Foundation first, then the workspace submodule pointer. Only then rebuild the Lepiter gallery and refresh its snippets.</w:t>
      </w:r>
    </w:p>
    <w:tbl>
      <w:tblPr>
        <w:tblW w:type="auto" w:w="0"/>
        <w:jc w:val="center"/>
        <w:tblLook w:firstColumn="1" w:firstRow="1" w:lastColumn="0" w:lastRow="0" w:noHBand="0" w:noVBand="1" w:val="04A0"/>
      </w:tblPr>
      <w:tblGrid>
        <w:gridCol w:w="10166"/>
      </w:tblGrid>
      <w:tr>
        <w:tc>
          <w:tcPr>
            <w:tcW w:type="dxa" w:w="10166"/>
            <w:shd w:fill="EAF2F8"/>
          </w:tcPr>
          <w:p>
            <w:r>
              <w:rPr>
                <w:b/>
                <w:sz w:val="20"/>
              </w:rPr>
              <w:t>How to treat the accompanying documents</w:t>
            </w:r>
          </w:p>
          <w:p>
            <w:pPr>
              <w:spacing w:after="0"/>
            </w:pPr>
            <w:r>
              <w:t>The Technical Specification and Features, Usage and Examples documents describe the current ideals, vocabulary and intended direction. They are design hints and review aids, not a frozen contract. Treat source and executable examples as truth. Revisit the documents whenever implementation reveals a cleaner GT/Bloc/Brick-native design.</w:t>
            </w:r>
          </w:p>
        </w:tc>
      </w:tr>
    </w:tbl>
    <w:p>
      <w:pPr/>
      <w:r>
        <w:t>Accompanying documents:</w:t>
        <w:br/>
        <w:t>• GT-Motion-Technical-Specification-Base-v1.1.docx</w:t>
        <w:br/>
        <w:t>• GT-Motion-Features-Usage-and-Examples-Base-v1.1.docx</w:t>
      </w:r>
    </w:p>
    <w:p>
      <w:pPr>
        <w:pStyle w:val="Heading1"/>
      </w:pPr>
      <w:r>
        <w:t>Historical implementation update — 16 July 2026</w:t>
      </w:r>
    </w:p>
    <w:p>
      <w:pPr/>
      <w:r>
        <w:t>Naming checkpoint — 16 July 2026: CFMotion is the live running Motion; CFMotionState is its lifecycle state. The existing CFMotionEffectRecipe, CFMotionEffects and CFMotionAptitude vocabulary remains provisional and must not be extended or treated as the final public model until its role and name are agreed.</w:t>
      </w:r>
    </w:p>
    <w:p>
      <w:pPr/>
      <w:r>
        <w:t>This section is the current handover. It supersedes earlier prototype-status statements and any aspirational API claim that conflicts with the live Foundation source or its green executable examples.</w:t>
      </w:r>
    </w:p>
    <w:p>
      <w:pPr>
        <w:pStyle w:val="Heading2"/>
      </w:pPr>
      <w:r>
        <w:t>What is implemented now</w:t>
      </w:r>
    </w:p>
    <w:p>
      <w:pPr/>
      <w:r>
        <w:t>Motion now has one operational spine: CFMotion, CFMotionCoordinator, typed tracks and properties, explicit lifecycle state, trace, ownership and cleanup. The Core package also contains geometry snapshots/tracks, layout transactions and next-layout readiness. Effects adds reusable appearance recipes and aptitudes; Examples is the executable specification suite.</w:t>
      </w:r>
    </w:p>
    <w:p>
      <w:pPr/>
      <w:r>
        <w:t>The Configuration Editor is the first real consumer. Preview opacity is Motion-owned; placement translation is a shared CFMotion with CFMotionTranslationTrack instances. Its public inspection points are previewOpacityOperation and placementMotionOperation. Examples have been repeatedly run in GT and reported green through this integration work.</w:t>
      </w:r>
    </w:p>
    <w:p>
      <w:pPr>
        <w:pStyle w:val="Heading2"/>
      </w:pPr>
      <w:r>
        <w:t>Operational lessons that are now contract</w:t>
      </w:r>
    </w:p>
    <w:p>
      <w:pPr>
        <w:pStyle w:val="ListBullet"/>
      </w:pPr>
      <w:r>
        <w:t>A presented property has one Motion owner per subject/property/space. Replacement and retargeting begin from the current presentation, never the original source. Terminal paths release claims, observers, temporary transforms, constraints, overlays and callbacks.</w:t>
      </w:r>
    </w:p>
    <w:p>
      <w:pPr>
        <w:pStyle w:val="ListBullet"/>
      </w:pPr>
      <w:r>
        <w:t>Geometry snapshots are expressed in an explicit coordinate space; Bloc computes authoritative layout. A geometry track presents scale and translation. It is correct for geometric transform motion, but is not a generic substitute for content reveal.</w:t>
      </w:r>
    </w:p>
    <w:p>
      <w:pPr>
        <w:pStyle w:val="ListBullet"/>
      </w:pPr>
      <w:r>
        <w:t>To fade a preview, animate opacity on its compositing container. The preview root must be a single composition layer when its expanded children request their own layers. Do not fade every child: that hides a broken compositing boundary and multiplies alpha.</w:t>
      </w:r>
    </w:p>
    <w:p>
      <w:pPr>
        <w:pStyle w:val="ListBullet"/>
      </w:pPr>
      <w:r>
        <w:t>Equivalent interaction routes must converge on one idempotent terminal state. In the editor, off-canvas drag leave and repeated sidebar drag-over both cancel the same preview presentation once; repeated input must not restart the fade.</w:t>
      </w:r>
    </w:p>
    <w:p>
      <w:pPr>
        <w:pStyle w:val="ListBullet"/>
      </w:pPr>
      <w:r>
        <w:t>Adoption separates logical membership from visual presentation. The overlay owns the temporary visual while source/destination membership is committed; cleanup removes it deterministically.</w:t>
      </w:r>
    </w:p>
    <w:p>
      <w:pPr>
        <w:pStyle w:val="Heading2"/>
      </w:pPr>
      <w:r>
        <w:t>Known remaining work</w:t>
      </w:r>
    </w:p>
    <w:p>
      <w:pPr/>
      <w:r>
        <w:t>The editor is not Motion-exclusive yet. Hover expansion/collapse still uses the earlier CFAnimationCoordinator and BlNumberTransition path because it reveals native-size form content by animating a height constraint with clipping. Replacing it with the existing geometry track would vertically scale text, controls and borders while opening, which is a visual regression.</w:t>
      </w:r>
    </w:p>
    <w:p>
      <w:pPr/>
      <w:r>
        <w:t>The next coherent feature is a Motion-owned vertical-extent/reveal track (for example CFMotionVerticalExtentTrack or a focused layout-reveal operation). It should sample/retain the collapsed extent, drive vExact: during the operation, clip children, await authoritative natural layout through CFMotionNextLayoutReadiness, finish at vFitContent, and compose with opacity under one CFMotion. Once its editor examples are green, delete the matching legacy coordinator path and the unused pointAnimationFrom:to:onStep: helper.</w:t>
      </w:r>
    </w:p>
    <w:p>
      <w:pPr>
        <w:pStyle w:val="Heading2"/>
      </w:pPr>
      <w:r>
        <w:t>Working order for the next session</w:t>
      </w:r>
    </w:p>
    <w:p>
      <w:pPr/>
      <w:r>
        <w:t>1. Add the focused vertical-extent track and executable examples for expand, collapse, retarget and cancellation.  2. Migrate Configuration Editor hover expansion/collapse to that track without changing native-size content rendering.  3. Remove the equivalent legacy editor animation machinery only after the examples and the live Config Editor are green.  4. Keep using the GT inspector/MCP surfaces to inspect operations, tracks, snapshots and ownership while validating the live interaction.</w:t>
      </w:r>
    </w:p>
    <w:p>
      <w:pPr>
        <w:pStyle w:val="Heading1"/>
      </w:pPr>
      <w:r>
        <w:t>1. Mission</w:t>
      </w:r>
    </w:p>
    <w:p>
      <w:pPr/>
      <w:r>
        <w:t>Build a dedicated GT / Bloc / Brick motion framework in BVC Foundation. It must make ordinary animation extremely easy while supporting coordinated layout change, geometry and shape motion, interruption, retargeting, readiness, effects, behaviours, collections, temporal values and deep GT inspection.</w:t>
      </w:r>
    </w:p>
    <w:p>
      <w:pPr/>
      <w:r>
        <w:t>The framework is built from the ground up for GT and is therefore moldable by design. Runtime objects should naturally expose the context needed to understand and adapt behaviour, but the framework should not bury its core purpose under tooling terminology.</w:t>
      </w:r>
    </w:p>
    <w:p>
      <w:pPr/>
      <w:r>
        <w:t>Do not transplant a web, mobile or game animation architecture. External frameworks are references for useful patterns only. The target substrate is BlElement, BlSpace, Bloc pulse/layout/transforms/geometry/rendering, Brick states/wishes/aptitudes, and GT examples/inspectors.</w:t>
      </w:r>
    </w:p>
    <w:p>
      <w:pPr>
        <w:pStyle w:val="Heading1"/>
      </w:pPr>
      <w:r>
        <w:t>2. Non-negotiable working discipline</w:t>
      </w:r>
    </w:p>
    <w:p>
      <w:pPr>
        <w:pStyle w:val="ListBullet"/>
      </w:pPr>
      <w:r>
        <w:t>Treat the latest GTUI and Catalyst Foundation sources as the implementation sources of truth.</w:t>
      </w:r>
    </w:p>
    <w:p>
      <w:pPr>
        <w:pStyle w:val="ListBullet"/>
      </w:pPr>
      <w:r>
        <w:t>Quote and verify exact Bloc, Brick and Foundation protocols before changing behaviour.</w:t>
      </w:r>
    </w:p>
    <w:p>
      <w:pPr>
        <w:pStyle w:val="ListBullet"/>
      </w:pPr>
      <w:r>
        <w:t>Do not invent APIs, constructors, geometry conversions or lifecycle behaviour.</w:t>
      </w:r>
    </w:p>
    <w:p>
      <w:pPr>
        <w:pStyle w:val="ListBullet"/>
      </w:pPr>
      <w:r>
        <w:t>When uncertain, stop and ask rather than writing a plausible patch.</w:t>
      </w:r>
    </w:p>
    <w:p>
      <w:pPr>
        <w:pStyle w:val="ListBullet"/>
      </w:pPr>
      <w:r>
        <w:t>Build isolated executable examples first.</w:t>
      </w:r>
    </w:p>
    <w:p>
      <w:pPr>
        <w:pStyle w:val="ListBullet"/>
      </w:pPr>
      <w:r>
        <w:t>Include retargeting from the beginning.</w:t>
      </w:r>
    </w:p>
    <w:p>
      <w:pPr>
        <w:pStyle w:val="ListBullet"/>
      </w:pPr>
      <w:r>
        <w:t>Fix root causes; do not layer guards over invalid membership, geometry or ownership.</w:t>
      </w:r>
    </w:p>
    <w:p>
      <w:pPr>
        <w:pStyle w:val="ListBullet"/>
      </w:pPr>
      <w:r>
        <w:t>Delete existing Configuration Editor animation machinery only after equivalent Motion behaviour is proven.</w:t>
      </w:r>
    </w:p>
    <w:p>
      <w:pPr>
        <w:pStyle w:val="ListBullet"/>
      </w:pPr>
      <w:r>
        <w:t>Keep packages cohesive and dependency direction clean; never create a package per concept.</w:t>
      </w:r>
    </w:p>
    <w:p>
      <w:pPr>
        <w:pStyle w:val="ListBullet"/>
      </w:pPr>
      <w:r>
        <w:t>Every terminal operation must release all claims, handlers, transforms, constraints, overlays and callbacks.</w:t>
      </w:r>
    </w:p>
    <w:p>
      <w:pPr>
        <w:pStyle w:val="Heading1"/>
      </w:pPr>
      <w:r>
        <w:t>3. Settled structural decisions</w:t>
      </w:r>
    </w:p>
    <w:tbl>
      <w:tblPr>
        <w:tblW w:type="auto" w:w="0"/>
        <w:jc w:val="center"/>
        <w:tblLook w:firstColumn="1" w:firstRow="1" w:lastColumn="0" w:lastRow="0" w:noHBand="0" w:noVBand="1" w:val="04A0"/>
      </w:tblPr>
      <w:tblGrid>
        <w:gridCol w:w="5083"/>
        <w:gridCol w:w="5083"/>
      </w:tblGrid>
      <w:tr>
        <w:trPr>
          <w:tblHeader w:val="true"/>
        </w:trPr>
        <w:tc>
          <w:tcPr>
            <w:tcW w:type="dxa" w:w="5083"/>
            <w:shd w:fill="D9E7F5"/>
          </w:tcPr>
          <w:p>
            <w:r/>
            <w:r>
              <w:rPr>
                <w:b/>
                <w:sz w:val="18"/>
              </w:rPr>
              <w:t>Decision</w:t>
            </w:r>
          </w:p>
        </w:tc>
        <w:tc>
          <w:tcPr>
            <w:tcW w:type="dxa" w:w="5083"/>
            <w:shd w:fill="D9E7F5"/>
          </w:tcPr>
          <w:p>
            <w:r/>
            <w:r>
              <w:rPr>
                <w:b/>
                <w:sz w:val="18"/>
              </w:rPr>
              <w:t>Current direction</w:t>
            </w:r>
          </w:p>
        </w:tc>
      </w:tr>
      <w:tr>
        <w:tc>
          <w:tcPr>
            <w:tcW w:type="dxa" w:w="5083"/>
          </w:tcPr>
          <w:p>
            <w:r/>
            <w:r>
              <w:rPr>
                <w:b/>
                <w:sz w:val="18"/>
              </w:rPr>
              <w:t>Packages</w:t>
            </w:r>
          </w:p>
        </w:tc>
        <w:tc>
          <w:tcPr>
            <w:tcW w:type="dxa" w:w="5083"/>
          </w:tcPr>
          <w:p>
            <w:r/>
            <w:r>
              <w:rPr>
                <w:b w:val="0"/>
                <w:sz w:val="18"/>
              </w:rPr>
              <w:t>BVC-Foundation-Motion-Core, BVC-Foundation-Motion-Effects, BVC-Foundation-Motion-Examples.</w:t>
            </w:r>
          </w:p>
        </w:tc>
      </w:tr>
      <w:tr>
        <w:tc>
          <w:tcPr>
            <w:tcW w:type="dxa" w:w="5083"/>
          </w:tcPr>
          <w:p>
            <w:r/>
            <w:r>
              <w:rPr>
                <w:b/>
                <w:sz w:val="18"/>
              </w:rPr>
              <w:t>Class prefix</w:t>
            </w:r>
          </w:p>
        </w:tc>
        <w:tc>
          <w:tcPr>
            <w:tcW w:type="dxa" w:w="5083"/>
          </w:tcPr>
          <w:p>
            <w:r/>
            <w:r>
              <w:rPr>
                <w:b w:val="0"/>
                <w:sz w:val="18"/>
              </w:rPr>
              <w:t>CF. Keep Motion in Foundation for now.</w:t>
            </w:r>
          </w:p>
        </w:tc>
      </w:tr>
      <w:tr>
        <w:tc>
          <w:tcPr>
            <w:tcW w:type="dxa" w:w="5083"/>
          </w:tcPr>
          <w:p>
            <w:r/>
            <w:r>
              <w:rPr>
                <w:b/>
                <w:sz w:val="18"/>
              </w:rPr>
              <w:t>Package boundaries</w:t>
            </w:r>
          </w:p>
        </w:tc>
        <w:tc>
          <w:tcPr>
            <w:tcW w:type="dxa" w:w="5083"/>
          </w:tcPr>
          <w:p>
            <w:r/>
            <w:r>
              <w:rPr>
                <w:b w:val="0"/>
                <w:sz w:val="18"/>
              </w:rPr>
              <w:t>No Motion-Bloc or Motion-Brick packages. Bloc and Brick are substrate, not logical package groups.</w:t>
            </w:r>
          </w:p>
        </w:tc>
      </w:tr>
      <w:tr>
        <w:tc>
          <w:tcPr>
            <w:tcW w:type="dxa" w:w="5083"/>
          </w:tcPr>
          <w:p>
            <w:r/>
            <w:r>
              <w:rPr>
                <w:b/>
                <w:sz w:val="18"/>
              </w:rPr>
              <w:t>Coordinator</w:t>
            </w:r>
          </w:p>
        </w:tc>
        <w:tc>
          <w:tcPr>
            <w:tcW w:type="dxa" w:w="5083"/>
          </w:tcPr>
          <w:p>
            <w:r/>
            <w:r>
              <w:rPr>
                <w:b w:val="0"/>
                <w:sz w:val="18"/>
              </w:rPr>
              <w:t>One coordinator per BlSpace.</w:t>
            </w:r>
          </w:p>
        </w:tc>
      </w:tr>
      <w:tr>
        <w:tc>
          <w:tcPr>
            <w:tcW w:type="dxa" w:w="5083"/>
          </w:tcPr>
          <w:p>
            <w:r/>
            <w:r>
              <w:rPr>
                <w:b/>
                <w:sz w:val="18"/>
              </w:rPr>
              <w:t>Runtime</w:t>
            </w:r>
          </w:p>
        </w:tc>
        <w:tc>
          <w:tcPr>
            <w:tcW w:type="dxa" w:w="5083"/>
          </w:tcPr>
          <w:p>
            <w:r/>
            <w:r>
              <w:rPr>
                <w:b w:val="0"/>
                <w:sz w:val="18"/>
              </w:rPr>
              <w:t>Catalyst Runtime is a future consumer, not a current contributor or dependency.</w:t>
            </w:r>
          </w:p>
        </w:tc>
      </w:tr>
      <w:tr>
        <w:tc>
          <w:tcPr>
            <w:tcW w:type="dxa" w:w="5083"/>
          </w:tcPr>
          <w:p>
            <w:r/>
            <w:r>
              <w:rPr>
                <w:b/>
                <w:sz w:val="18"/>
              </w:rPr>
              <w:t>Examples</w:t>
            </w:r>
          </w:p>
        </w:tc>
        <w:tc>
          <w:tcPr>
            <w:tcW w:type="dxa" w:w="5083"/>
          </w:tcPr>
          <w:p>
            <w:r/>
            <w:r>
              <w:rPr>
                <w:b w:val="0"/>
                <w:sz w:val="18"/>
              </w:rPr>
              <w:t>Build isolated executable examples before integrating the Configuration Editor.</w:t>
            </w:r>
          </w:p>
        </w:tc>
      </w:tr>
      <w:tr>
        <w:tc>
          <w:tcPr>
            <w:tcW w:type="dxa" w:w="5083"/>
          </w:tcPr>
          <w:p>
            <w:r/>
            <w:r>
              <w:rPr>
                <w:b/>
                <w:sz w:val="18"/>
              </w:rPr>
              <w:t>Retargeting</w:t>
            </w:r>
          </w:p>
        </w:tc>
        <w:tc>
          <w:tcPr>
            <w:tcW w:type="dxa" w:w="5083"/>
          </w:tcPr>
          <w:p>
            <w:r/>
            <w:r>
              <w:rPr>
                <w:b w:val="0"/>
                <w:sz w:val="18"/>
              </w:rPr>
              <w:t>Must be supported immediately and must start from current presentation.</w:t>
            </w:r>
          </w:p>
        </w:tc>
      </w:tr>
      <w:tr>
        <w:tc>
          <w:tcPr>
            <w:tcW w:type="dxa" w:w="5083"/>
          </w:tcPr>
          <w:p>
            <w:r/>
            <w:r>
              <w:rPr>
                <w:b/>
                <w:sz w:val="18"/>
              </w:rPr>
              <w:t>Editor migration</w:t>
            </w:r>
          </w:p>
        </w:tc>
        <w:tc>
          <w:tcPr>
            <w:tcW w:type="dxa" w:w="5083"/>
          </w:tcPr>
          <w:p>
            <w:r/>
            <w:r>
              <w:rPr>
                <w:b w:val="0"/>
                <w:sz w:val="18"/>
              </w:rPr>
              <w:t>Delete replaced editor-specific animation machinery once Motion reaches equivalent behaviour.</w:t>
            </w:r>
          </w:p>
        </w:tc>
      </w:tr>
    </w:tbl>
    <w:p>
      <w:pPr>
        <w:pStyle w:val="Heading1"/>
      </w:pPr>
      <w:r>
        <w:t>4. Naming and API principles</w:t>
      </w:r>
    </w:p>
    <w:p>
      <w:pPr/>
      <w:r>
        <w:t>Naming must cleanly state intent, remain at the correct abstraction level and avoid repeating the framework context.</w:t>
      </w:r>
    </w:p>
    <w:tbl>
      <w:tblPr>
        <w:tblW w:type="auto" w:w="0"/>
        <w:jc w:val="center"/>
        <w:tblLook w:firstColumn="1" w:firstRow="1" w:lastColumn="0" w:lastRow="0" w:noHBand="0" w:noVBand="1" w:val="04A0"/>
      </w:tblPr>
      <w:tblGrid>
        <w:gridCol w:w="5083"/>
        <w:gridCol w:w="5083"/>
      </w:tblGrid>
      <w:tr>
        <w:trPr>
          <w:tblHeader w:val="true"/>
        </w:trPr>
        <w:tc>
          <w:tcPr>
            <w:tcW w:type="dxa" w:w="5083"/>
            <w:shd w:fill="D9E7F5"/>
          </w:tcPr>
          <w:p>
            <w:r/>
            <w:r>
              <w:rPr>
                <w:b/>
                <w:sz w:val="18"/>
              </w:rPr>
              <w:t>Principle</w:t>
            </w:r>
          </w:p>
        </w:tc>
        <w:tc>
          <w:tcPr>
            <w:tcW w:type="dxa" w:w="5083"/>
            <w:shd w:fill="D9E7F5"/>
          </w:tcPr>
          <w:p>
            <w:r/>
            <w:r>
              <w:rPr>
                <w:b/>
                <w:sz w:val="18"/>
              </w:rPr>
              <w:t>Example / implication</w:t>
            </w:r>
          </w:p>
        </w:tc>
      </w:tr>
      <w:tr>
        <w:tc>
          <w:tcPr>
            <w:tcW w:type="dxa" w:w="5083"/>
          </w:tcPr>
          <w:p>
            <w:r/>
            <w:r>
              <w:rPr>
                <w:b/>
                <w:sz w:val="18"/>
              </w:rPr>
              <w:t>Properties use ordinary property vocabulary</w:t>
            </w:r>
          </w:p>
        </w:tc>
        <w:tc>
          <w:tcPr>
            <w:tcW w:type="dxa" w:w="5083"/>
          </w:tcPr>
          <w:p>
            <w:r/>
            <w:r>
              <w:rPr>
                <w:b w:val="0"/>
                <w:sz w:val="18"/>
              </w:rPr>
              <w:t>element motion opacity: 0.8. No opacityTo:, animateOpacity: or magic property symbols.</w:t>
            </w:r>
          </w:p>
        </w:tc>
      </w:tr>
      <w:tr>
        <w:tc>
          <w:tcPr>
            <w:tcW w:type="dxa" w:w="5083"/>
          </w:tcPr>
          <w:p>
            <w:r/>
            <w:r>
              <w:rPr>
                <w:b/>
                <w:sz w:val="18"/>
              </w:rPr>
              <w:t>Semantic operations use verbs</w:t>
            </w:r>
          </w:p>
        </w:tc>
        <w:tc>
          <w:tcPr>
            <w:tcW w:type="dxa" w:w="5083"/>
          </w:tcPr>
          <w:p>
            <w:r/>
            <w:r>
              <w:rPr>
                <w:b w:val="0"/>
                <w:sz w:val="18"/>
              </w:rPr>
              <w:t>appear, disappear, expand, collapse, dismiss, return, reorder.</w:t>
            </w:r>
          </w:p>
        </w:tc>
      </w:tr>
      <w:tr>
        <w:tc>
          <w:tcPr>
            <w:tcW w:type="dxa" w:w="5083"/>
          </w:tcPr>
          <w:p>
            <w:r/>
            <w:r>
              <w:rPr>
                <w:b/>
                <w:sz w:val="18"/>
              </w:rPr>
              <w:t>Transaction directives name participating change</w:t>
            </w:r>
          </w:p>
        </w:tc>
        <w:tc>
          <w:tcPr>
            <w:tcW w:type="dxa" w:w="5083"/>
          </w:tcPr>
          <w:p>
            <w:r/>
            <w:r>
              <w:rPr>
                <w:b w:val="0"/>
                <w:sz w:val="18"/>
              </w:rPr>
              <w:t>geometryOf:, resize:, insert:into:at:, remove:, adopt:as:. Do not prefix with animate.</w:t>
            </w:r>
          </w:p>
        </w:tc>
      </w:tr>
      <w:tr>
        <w:tc>
          <w:tcPr>
            <w:tcW w:type="dxa" w:w="5083"/>
          </w:tcPr>
          <w:p>
            <w:r/>
            <w:r>
              <w:rPr>
                <w:b/>
                <w:sz w:val="18"/>
              </w:rPr>
              <w:t>Execution is explicit only when assembly is deferred</w:t>
            </w:r>
          </w:p>
        </w:tc>
        <w:tc>
          <w:tcPr>
            <w:tcW w:type="dxa" w:w="5083"/>
          </w:tcPr>
          <w:p>
            <w:r/>
            <w:r>
              <w:rPr>
                <w:b w:val="0"/>
                <w:sz w:val="18"/>
              </w:rPr>
              <w:t>A multi-message transaction ends with play. A simple property convenience may start immediately.</w:t>
            </w:r>
          </w:p>
        </w:tc>
      </w:tr>
      <w:tr>
        <w:tc>
          <w:tcPr>
            <w:tcW w:type="dxa" w:w="5083"/>
          </w:tcPr>
          <w:p>
            <w:r/>
            <w:r>
              <w:rPr>
                <w:b/>
                <w:sz w:val="18"/>
              </w:rPr>
              <w:t>Opposites are symmetrical</w:t>
            </w:r>
          </w:p>
        </w:tc>
        <w:tc>
          <w:tcPr>
            <w:tcW w:type="dxa" w:w="5083"/>
          </w:tcPr>
          <w:p>
            <w:r/>
            <w:r>
              <w:rPr>
                <w:b w:val="0"/>
                <w:sz w:val="18"/>
              </w:rPr>
              <w:t>fadeIn/fadeOut, scaleAndFadeIn/scaleAndFadeOut, riseAndFadeIn/fallAndFadeOut.</w:t>
            </w:r>
          </w:p>
        </w:tc>
      </w:tr>
      <w:tr>
        <w:tc>
          <w:tcPr>
            <w:tcW w:type="dxa" w:w="5083"/>
          </w:tcPr>
          <w:p>
            <w:r/>
            <w:r>
              <w:rPr>
                <w:b/>
                <w:sz w:val="18"/>
              </w:rPr>
              <w:t>Names describe observable treatment</w:t>
            </w:r>
          </w:p>
        </w:tc>
        <w:tc>
          <w:tcPr>
            <w:tcW w:type="dxa" w:w="5083"/>
          </w:tcPr>
          <w:p>
            <w:r/>
            <w:r>
              <w:rPr>
                <w:b w:val="0"/>
                <w:sz w:val="18"/>
              </w:rPr>
              <w:t>Avoid dramatic names such as beautifulReveal or magicLift.</w:t>
            </w:r>
          </w:p>
        </w:tc>
      </w:tr>
      <w:tr>
        <w:tc>
          <w:tcPr>
            <w:tcW w:type="dxa" w:w="5083"/>
          </w:tcPr>
          <w:p>
            <w:r/>
            <w:r>
              <w:rPr>
                <w:b/>
                <w:sz w:val="18"/>
              </w:rPr>
              <w:t>Complex library effects are first-class</w:t>
            </w:r>
          </w:p>
        </w:tc>
        <w:tc>
          <w:tcPr>
            <w:tcW w:type="dxa" w:w="5083"/>
          </w:tcPr>
          <w:p>
            <w:r/>
            <w:r>
              <w:rPr>
                <w:b w:val="0"/>
                <w:sz w:val="18"/>
              </w:rPr>
              <w:t>Ready-to-use composed effects must be easy to discover and inspect, while being built from smaller typed primitives.</w:t>
            </w:r>
          </w:p>
        </w:tc>
      </w:tr>
    </w:tbl>
    <w:p>
      <w:pPr>
        <w:pStyle w:val="Heading2"/>
      </w:pPr>
      <w:r>
        <w:t>4.1 Effect library levels</w:t>
      </w:r>
    </w:p>
    <w:p>
      <w:pPr/>
      <w:r>
        <w:t>Primitive effects are focused composition units:</w:t>
      </w:r>
    </w:p>
    <w:p>
      <w:pPr>
        <w:pStyle w:val="CodeBlock"/>
      </w:pPr>
      <w:r>
        <w:t>CFMotionEffects fade.</w:t>
        <w:br/>
        <w:t>CFMotionEffects translate.</w:t>
        <w:br/>
        <w:t>CFMotionEffects scale.</w:t>
        <w:br/>
        <w:t>CFMotionEffects blur.</w:t>
        <w:br/>
        <w:t>CFMotionEffects followPath.</w:t>
      </w:r>
    </w:p>
    <w:p>
      <w:pPr/>
      <w:r>
        <w:t>Composed library effects are complete, named recipes:</w:t>
      </w:r>
    </w:p>
    <w:p>
      <w:pPr>
        <w:pStyle w:val="CodeBlock"/>
      </w:pPr>
      <w:r>
        <w:t>CFMotionEffects riseAndFadeIn.</w:t>
        <w:br/>
        <w:t>CFMotionEffects fallAndFadeOut.</w:t>
        <w:br/>
        <w:t>CFMotionEffects scaleAndFadeIn.</w:t>
        <w:br/>
        <w:t>CFMotionEffects scaleAndFadeOut.</w:t>
        <w:br/>
        <w:t>CFMotionEffects flingOut.</w:t>
        <w:br/>
        <w:t>CFMotionEffects springBack.</w:t>
      </w:r>
    </w:p>
    <w:p>
      <w:pPr/>
      <w:r>
        <w:t>The semantic operation owns appearance/disappearance, visibility, insertion/removal and completion. The effect defines the presentation recipe.</w:t>
      </w:r>
    </w:p>
    <w:p>
      <w:pPr>
        <w:pStyle w:val="Heading1"/>
      </w:pPr>
      <w:r>
        <w:t>5. Geometry is foundational</w:t>
      </w:r>
    </w:p>
    <w:p>
      <w:pPr/>
      <w:r>
        <w:t>Geometry motion must be a first-class concept. Height and width are not unrelated special animations; they are constrained views of layout geometry.</w:t>
      </w:r>
    </w:p>
    <w:p>
      <w:pPr>
        <w:pStyle w:val="Heading2"/>
      </w:pPr>
      <w:r>
        <w:t>5.1 Layout geometry</w:t>
      </w:r>
    </w:p>
    <w:p>
      <w:pPr/>
      <w:r>
        <w:t>Layout geometry includes position and extent in one declared coordinate space. Bloc remains authoritative. Motion captures pre-mutation geometry and Bloc-computed post-layout geometry, then presents the transition.</w:t>
      </w:r>
    </w:p>
    <w:p>
      <w:pPr>
        <w:pStyle w:val="CodeBlock"/>
      </w:pPr>
      <w:r>
        <w:t>element motion geometry: destinationBounds.</w:t>
        <w:br/>
        <w:br/>
        <w:t>container motion</w:t>
        <w:br/>
        <w:t xml:space="preserve">    layout;</w:t>
        <w:br/>
        <w:t xml:space="preserve">    affecting: affectedElements;</w:t>
        <w:br/>
        <w:t xml:space="preserve">    mutate: [ panel beExpanded ];</w:t>
        <w:br/>
        <w:t xml:space="preserve">    geometryOf: panel;</w:t>
        <w:br/>
        <w:t xml:space="preserve">    play.</w:t>
      </w:r>
    </w:p>
    <w:p>
      <w:pPr/>
      <w:r>
        <w:t>Focused projections may include:</w:t>
      </w:r>
    </w:p>
    <w:p>
      <w:pPr>
        <w:pStyle w:val="CodeBlock"/>
      </w:pPr>
      <w:r>
        <w:t>transaction positionOf: panel.</w:t>
        <w:br/>
        <w:t>transaction extentOf: panel.</w:t>
        <w:br/>
        <w:t>transaction widthOf: panel.</w:t>
        <w:br/>
        <w:t>transaction heightOf: panel.</w:t>
      </w:r>
    </w:p>
    <w:p>
      <w:pPr/>
      <w:r>
        <w:t>These should all use the same geometry machinery and merely select components. Motion never invents or hard-codes destination dimensions.</w:t>
      </w:r>
    </w:p>
    <w:p>
      <w:pPr>
        <w:pStyle w:val="Heading2"/>
      </w:pPr>
      <w:r>
        <w:t>5.2 Shape geometry</w:t>
      </w:r>
    </w:p>
    <w:p>
      <w:pPr/>
      <w:r>
        <w:t>Rendered shape is related but distinct from layout bounds. Motion must support interpolation of compatible Bloc geometry or shape types without creating a competing geometry model.</w:t>
      </w:r>
    </w:p>
    <w:p>
      <w:pPr>
        <w:pStyle w:val="CodeBlock"/>
      </w:pPr>
      <w:r>
        <w:t>element motion shape: destinationShape.</w:t>
      </w:r>
    </w:p>
    <w:p>
      <w:pPr/>
      <w:r>
        <w:t>Rectangle-to-rounded-rectangle, compatible path morphing and other shape transitions require typed adapters/interpolators. Unsupported pairs should fail clearly rather than performing magical conversion.</w:t>
      </w:r>
    </w:p>
    <w:p>
      <w:pPr>
        <w:pStyle w:val="Heading1"/>
      </w:pPr>
      <w:r>
        <w:t>6. Current implementation status</w:t>
      </w:r>
    </w:p>
    <w:p>
      <w:pPr/>
      <w:r>
        <w:t>An initial Phase 1 prototype was created in the three Motion packages. The examples are currently green after two fixes.</w:t>
      </w:r>
    </w:p>
    <w:tbl>
      <w:tblPr>
        <w:tblW w:type="auto" w:w="0"/>
        <w:jc w:val="center"/>
        <w:tblLook w:firstColumn="1" w:firstRow="1" w:lastColumn="0" w:lastRow="0" w:noHBand="0" w:noVBand="1" w:val="04A0"/>
      </w:tblPr>
      <w:tblGrid>
        <w:gridCol w:w="5083"/>
        <w:gridCol w:w="5083"/>
      </w:tblGrid>
      <w:tr>
        <w:trPr>
          <w:tblHeader w:val="true"/>
        </w:trPr>
        <w:tc>
          <w:tcPr>
            <w:tcW w:type="dxa" w:w="5083"/>
            <w:shd w:fill="D9E7F5"/>
          </w:tcPr>
          <w:p>
            <w:r/>
            <w:r>
              <w:rPr>
                <w:b/>
                <w:sz w:val="18"/>
              </w:rPr>
              <w:t>Area</w:t>
            </w:r>
          </w:p>
        </w:tc>
        <w:tc>
          <w:tcPr>
            <w:tcW w:type="dxa" w:w="5083"/>
            <w:shd w:fill="D9E7F5"/>
          </w:tcPr>
          <w:p>
            <w:r/>
            <w:r>
              <w:rPr>
                <w:b/>
                <w:sz w:val="18"/>
              </w:rPr>
              <w:t>State</w:t>
            </w:r>
          </w:p>
        </w:tc>
      </w:tr>
      <w:tr>
        <w:tc>
          <w:tcPr>
            <w:tcW w:type="dxa" w:w="5083"/>
          </w:tcPr>
          <w:p>
            <w:r/>
            <w:r>
              <w:rPr>
                <w:b/>
                <w:sz w:val="18"/>
              </w:rPr>
              <w:t>CFMotion / CFMotionBuilder</w:t>
            </w:r>
          </w:p>
        </w:tc>
        <w:tc>
          <w:tcPr>
            <w:tcW w:type="dxa" w:w="5083"/>
          </w:tcPr>
          <w:p>
            <w:r/>
            <w:r>
              <w:rPr>
                <w:b w:val="0"/>
                <w:sz w:val="18"/>
              </w:rPr>
              <w:t>Entry and basic builder prototype.</w:t>
            </w:r>
          </w:p>
        </w:tc>
      </w:tr>
      <w:tr>
        <w:tc>
          <w:tcPr>
            <w:tcW w:type="dxa" w:w="5083"/>
          </w:tcPr>
          <w:p>
            <w:r/>
            <w:r>
              <w:rPr>
                <w:b/>
                <w:sz w:val="18"/>
              </w:rPr>
              <w:t>CFMotionCoordinator</w:t>
            </w:r>
          </w:p>
        </w:tc>
        <w:tc>
          <w:tcPr>
            <w:tcW w:type="dxa" w:w="5083"/>
          </w:tcPr>
          <w:p>
            <w:r/>
            <w:r>
              <w:rPr>
                <w:b w:val="0"/>
                <w:sz w:val="18"/>
              </w:rPr>
              <w:t>Per-space ownership prototype using the space/root relationship.</w:t>
            </w:r>
          </w:p>
        </w:tc>
      </w:tr>
      <w:tr>
        <w:tc>
          <w:tcPr>
            <w:tcW w:type="dxa" w:w="5083"/>
          </w:tcPr>
          <w:p>
            <w:r/>
            <w:r>
              <w:rPr>
                <w:b/>
                <w:sz w:val="18"/>
              </w:rPr>
              <w:t>CFMotionProperty / CFOpacityMotionProperty</w:t>
            </w:r>
          </w:p>
        </w:tc>
        <w:tc>
          <w:tcPr>
            <w:tcW w:type="dxa" w:w="5083"/>
          </w:tcPr>
          <w:p>
            <w:r/>
            <w:r>
              <w:rPr>
                <w:b w:val="0"/>
                <w:sz w:val="18"/>
              </w:rPr>
              <w:t>Typed opacity property prototype.</w:t>
            </w:r>
          </w:p>
        </w:tc>
      </w:tr>
      <w:tr>
        <w:tc>
          <w:tcPr>
            <w:tcW w:type="dxa" w:w="5083"/>
          </w:tcPr>
          <w:p>
            <w:r/>
            <w:r>
              <w:rPr>
                <w:b/>
                <w:sz w:val="18"/>
              </w:rPr>
              <w:t>legacy property-motion prototype</w:t>
            </w:r>
          </w:p>
        </w:tc>
        <w:tc>
          <w:tcPr>
            <w:tcW w:type="dxa" w:w="5083"/>
          </w:tcPr>
          <w:p>
            <w:r/>
            <w:r>
              <w:rPr>
                <w:b w:val="0"/>
                <w:sz w:val="18"/>
              </w:rPr>
              <w:t>Opacity execution and retargeting prototype.</w:t>
            </w:r>
          </w:p>
        </w:tc>
      </w:tr>
      <w:tr>
        <w:tc>
          <w:tcPr>
            <w:tcW w:type="dxa" w:w="5083"/>
          </w:tcPr>
          <w:p>
            <w:r/>
            <w:r>
              <w:rPr>
                <w:b/>
                <w:sz w:val="18"/>
              </w:rPr>
              <w:t>CFMotionPropertyKey</w:t>
            </w:r>
          </w:p>
        </w:tc>
        <w:tc>
          <w:tcPr>
            <w:tcW w:type="dxa" w:w="5083"/>
          </w:tcPr>
          <w:p>
            <w:r/>
            <w:r>
              <w:rPr>
                <w:b w:val="0"/>
                <w:sz w:val="18"/>
              </w:rPr>
              <w:t>Subject/property identity with fixed accessors.</w:t>
            </w:r>
          </w:p>
        </w:tc>
      </w:tr>
      <w:tr>
        <w:tc>
          <w:tcPr>
            <w:tcW w:type="dxa" w:w="5083"/>
          </w:tcPr>
          <w:p>
            <w:r/>
            <w:r>
              <w:rPr>
                <w:b/>
                <w:sz w:val="18"/>
              </w:rPr>
              <w:t>CFMotionSnapshot / CFMotionLayoutTransaction</w:t>
            </w:r>
          </w:p>
        </w:tc>
        <w:tc>
          <w:tcPr>
            <w:tcW w:type="dxa" w:w="5083"/>
          </w:tcPr>
          <w:p>
            <w:r/>
            <w:r>
              <w:rPr>
                <w:b w:val="0"/>
                <w:sz w:val="18"/>
              </w:rPr>
              <w:t>Early layout prototype exists but should not be treated as the final architecture.</w:t>
            </w:r>
          </w:p>
        </w:tc>
      </w:tr>
      <w:tr>
        <w:tc>
          <w:tcPr>
            <w:tcW w:type="dxa" w:w="5083"/>
          </w:tcPr>
          <w:p>
            <w:r/>
            <w:r>
              <w:rPr>
                <w:b/>
                <w:sz w:val="18"/>
              </w:rPr>
              <w:t>Effects package</w:t>
            </w:r>
          </w:p>
        </w:tc>
        <w:tc>
          <w:tcPr>
            <w:tcW w:type="dxa" w:w="5083"/>
          </w:tcPr>
          <w:p>
            <w:r/>
            <w:r>
              <w:rPr>
                <w:b w:val="0"/>
                <w:sz w:val="18"/>
              </w:rPr>
              <w:t>Simple fade effect establishes dependency direction only.</w:t>
            </w:r>
          </w:p>
        </w:tc>
      </w:tr>
      <w:tr>
        <w:tc>
          <w:tcPr>
            <w:tcW w:type="dxa" w:w="5083"/>
          </w:tcPr>
          <w:p>
            <w:r/>
            <w:r>
              <w:rPr>
                <w:b/>
                <w:sz w:val="18"/>
              </w:rPr>
              <w:t>Examples</w:t>
            </w:r>
          </w:p>
        </w:tc>
        <w:tc>
          <w:tcPr>
            <w:tcW w:type="dxa" w:w="5083"/>
          </w:tcPr>
          <w:p>
            <w:r/>
            <w:r>
              <w:rPr>
                <w:b w:val="0"/>
                <w:sz w:val="18"/>
              </w:rPr>
              <w:t>Opacity motion, opacity retargeting, fade effect and layout transaction examples; reported green.</w:t>
            </w:r>
          </w:p>
        </w:tc>
      </w:tr>
      <w:tr>
        <w:tc>
          <w:tcPr>
            <w:tcW w:type="dxa" w:w="5083"/>
          </w:tcPr>
          <w:p>
            <w:r/>
            <w:r>
              <w:rPr>
                <w:b/>
                <w:sz w:val="18"/>
              </w:rPr>
              <w:t>Metacello baseline</w:t>
            </w:r>
          </w:p>
        </w:tc>
        <w:tc>
          <w:tcPr>
            <w:tcW w:type="dxa" w:w="5083"/>
          </w:tcPr>
          <w:p>
            <w:r/>
            <w:r>
              <w:rPr>
                <w:b w:val="0"/>
                <w:sz w:val="18"/>
              </w:rPr>
              <w:t>Motion packages added with Core &lt;- Effects &lt;- Examples dependency direction and included in the Pharo UI group.</w:t>
            </w:r>
          </w:p>
        </w:tc>
      </w:tr>
    </w:tbl>
    <w:p>
      <w:pPr>
        <w:pStyle w:val="Heading2"/>
      </w:pPr>
      <w:r>
        <w:t>6.1 Defects already found and fixed</w:t>
      </w:r>
    </w:p>
    <w:p>
      <w:pPr>
        <w:pStyle w:val="ListBullet"/>
      </w:pPr>
      <w:r>
        <w:t>Bounds conversion originally passed a coordinate wrapper where mutable BlBounds was expected. This was corrected using source-grounded Bloc bounds conversion.</w:t>
      </w:r>
    </w:p>
    <w:p>
      <w:pPr>
        <w:pStyle w:val="ListBullet"/>
      </w:pPr>
      <w:r>
        <w:t>CFMotionPropertyKey equality required missing element/property accessors. They were added.</w:t>
      </w:r>
    </w:p>
    <w:p>
      <w:pPr>
        <w:pStyle w:val="ListBullet"/>
      </w:pPr>
      <w:r>
        <w:t>CFMotionBuilder&gt;&gt;opacityTo: originally discarded the existing retargeted operation because a trailing yourself returned the unused new operation. The return path was fixed.</w:t>
      </w:r>
    </w:p>
    <w:p>
      <w:pPr/>
      <w:r>
        <w:t>The naming in the prototype predates the current API direction. For example opacityTo: should be revisited rather than preserved for compatibility.</w:t>
      </w:r>
    </w:p>
    <w:p>
      <w:pPr>
        <w:pStyle w:val="Heading1"/>
      </w:pPr>
      <w:r>
        <w:t>7. Architectural correction before adding features</w:t>
      </w:r>
    </w:p>
    <w:tbl>
      <w:tblPr>
        <w:tblW w:type="auto" w:w="0"/>
        <w:jc w:val="center"/>
        <w:tblLook w:firstColumn="1" w:firstRow="1" w:lastColumn="0" w:lastRow="0" w:noHBand="0" w:noVBand="1" w:val="04A0"/>
      </w:tblPr>
      <w:tblGrid>
        <w:gridCol w:w="10166"/>
      </w:tblGrid>
      <w:tr>
        <w:tc>
          <w:tcPr>
            <w:tcW w:type="dxa" w:w="10166"/>
            <w:shd w:fill="FCE4D6"/>
          </w:tcPr>
          <w:p>
            <w:r>
              <w:rPr>
                <w:b/>
                <w:sz w:val="20"/>
              </w:rPr>
              <w:t>Do not extend the two separate mini-engines</w:t>
            </w:r>
          </w:p>
          <w:p>
            <w:pPr>
              <w:spacing w:after="0"/>
            </w:pPr>
            <w:r>
              <w:t>The current property operation and layout transaction should not grow independently. Before serious layout, geometry or effects work, establish one shared operation spine for lifecycle, ownership, retargeting, cancellation, tracing and cleanup.</w:t>
            </w:r>
          </w:p>
        </w:tc>
      </w:tr>
    </w:tbl>
    <w:p>
      <w:pPr>
        <w:spacing w:after="0"/>
      </w:pPr>
    </w:p>
    <w:p>
      <w:pPr/>
      <w:r>
        <w:t>The likely smallest coherent shared model is:</w:t>
      </w:r>
    </w:p>
    <w:p>
      <w:pPr>
        <w:pStyle w:val="CodeBlock"/>
      </w:pPr>
      <w:r>
        <w:t>CFMotion</w:t>
        <w:br/>
        <w:t>CFMotionState</w:t>
        <w:br/>
        <w:t>CFMotionCoordinator</w:t>
        <w:br/>
        <w:t>CFMotionTrack</w:t>
        <w:br/>
        <w:t>CFMotionPropertyTrack</w:t>
        <w:br/>
        <w:t>CFMotionProperty</w:t>
        <w:br/>
        <w:t>CFMotionPropertyKey</w:t>
        <w:br/>
        <w:t>CFMotionTrace</w:t>
        <w:br/>
        <w:t>CFMotionTraceEntry</w:t>
      </w:r>
    </w:p>
    <w:p>
      <w:pPr/>
      <w:r>
        <w:t>legacy property-motion prototype should become a thin specialization or disappear into a configured CFMotion. Layout operations should consume the same spine rather than implementing their own generations, cancellation and callbacks.</w:t>
      </w:r>
    </w:p>
    <w:p>
      <w:pPr>
        <w:pStyle w:val="Heading1"/>
      </w:pPr>
      <w:r>
        <w:t>8. Recommended next implementation step</w:t>
      </w:r>
    </w:p>
    <w:p>
      <w:pPr/>
      <w:r>
        <w:t>Refactor the green opacity prototype into the shared inspectable operation/track lifecycle before implementing geometry or replacing editor machinery.</w:t>
      </w:r>
    </w:p>
    <w:p>
      <w:pPr>
        <w:pStyle w:val="Heading2"/>
      </w:pPr>
      <w:r>
        <w:t>8.1 Minimum vertical slice</w:t>
      </w:r>
    </w:p>
    <w:p>
      <w:pPr>
        <w:pStyle w:val="ListBullet"/>
      </w:pPr>
      <w:r>
        <w:t>One CFMotion lifecycle shared by all future motion.</w:t>
      </w:r>
    </w:p>
    <w:p>
      <w:pPr>
        <w:pStyle w:val="ListBullet"/>
      </w:pPr>
      <w:r>
        <w:t>Typed opacity property track.</w:t>
      </w:r>
    </w:p>
    <w:p>
      <w:pPr>
        <w:pStyle w:val="ListBullet"/>
      </w:pPr>
      <w:r>
        <w:t>One owner per subject/property within the BlSpace coordinator.</w:t>
      </w:r>
    </w:p>
    <w:p>
      <w:pPr>
        <w:pStyle w:val="ListBullet"/>
      </w:pPr>
      <w:r>
        <w:t>Retarget from current presented opacity.</w:t>
      </w:r>
    </w:p>
    <w:p>
      <w:pPr>
        <w:pStyle w:val="ListBullet"/>
      </w:pPr>
      <w:r>
        <w:t>Replacement and cancellation policies.</w:t>
      </w:r>
    </w:p>
    <w:p>
      <w:pPr>
        <w:pStyle w:val="ListBullet"/>
      </w:pPr>
      <w:r>
        <w:t>Generation or operation identity guarding obsolete Bloc completion callbacks.</w:t>
      </w:r>
    </w:p>
    <w:p>
      <w:pPr>
        <w:pStyle w:val="ListBullet"/>
      </w:pPr>
      <w:r>
        <w:t>Structured trace/state sufficient for GT inspection.</w:t>
      </w:r>
    </w:p>
    <w:p>
      <w:pPr>
        <w:pStyle w:val="ListBullet"/>
      </w:pPr>
      <w:r>
        <w:t>Complete cleanup and ownership release.</w:t>
      </w:r>
    </w:p>
    <w:p>
      <w:pPr>
        <w:pStyle w:val="Heading2"/>
      </w:pPr>
      <w:r>
        <w:t>8.2 Executable examples to make green</w:t>
      </w:r>
    </w:p>
    <w:p>
      <w:pPr>
        <w:pStyle w:val="CodeBlock"/>
      </w:pPr>
      <w:r>
        <w:t>opacityCompletes</w:t>
        <w:br/>
        <w:t>opacityRetargetsFromCurrentPresentation</w:t>
        <w:br/>
        <w:t>opacityReplacementKeepsOneOwner</w:t>
        <w:br/>
        <w:t>opacityCancellationPreservesCurrentPresentation</w:t>
        <w:br/>
        <w:t>opacityCleanupReleasesOwnership</w:t>
        <w:br/>
        <w:t>opacityOperationIsInspectable</w:t>
      </w:r>
    </w:p>
    <w:p>
      <w:pPr/>
      <w:r>
        <w:t>Only after these are green should layout geometry be rebuilt on the shared spine.</w:t>
      </w:r>
    </w:p>
    <w:p>
      <w:pPr>
        <w:pStyle w:val="Heading1"/>
      </w:pPr>
      <w:r>
        <w:t>9. Next geometry/layout phase</w:t>
      </w:r>
    </w:p>
    <w:p>
      <w:pPr/>
      <w:r>
        <w:t>The next phase should introduce a layout/geometry operation using explicit participants, one coordinate space and typed readiness.</w:t>
      </w:r>
    </w:p>
    <w:p>
      <w:pPr>
        <w:pStyle w:val="ListBullet"/>
      </w:pPr>
      <w:r>
        <w:t>Capture current presentation for declared participants before mutation.</w:t>
      </w:r>
    </w:p>
    <w:p>
      <w:pPr>
        <w:pStyle w:val="ListBullet"/>
      </w:pPr>
      <w:r>
        <w:t>Apply authoritative mutation exactly once.</w:t>
      </w:r>
    </w:p>
    <w:p>
      <w:pPr>
        <w:pStyle w:val="ListBullet"/>
      </w:pPr>
      <w:r>
        <w:t>Wait through a real readiness strategy, not a single postpone: call.</w:t>
      </w:r>
    </w:p>
    <w:p>
      <w:pPr>
        <w:pStyle w:val="ListBullet"/>
      </w:pPr>
      <w:r>
        <w:t>Let Bloc perform layout and capture resulting geometry.</w:t>
      </w:r>
    </w:p>
    <w:p>
      <w:pPr>
        <w:pStyle w:val="ListBullet"/>
      </w:pPr>
      <w:r>
        <w:t>Animate position and extent through shared geometry tracks.</w:t>
      </w:r>
    </w:p>
    <w:p>
      <w:pPr>
        <w:pStyle w:val="ListBullet"/>
      </w:pPr>
      <w:r>
        <w:t>Support restricted position/extent/width/height projections through the same geometry abstraction.</w:t>
      </w:r>
    </w:p>
    <w:p>
      <w:pPr>
        <w:pStyle w:val="ListBullet"/>
      </w:pPr>
      <w:r>
        <w:t>Retarget from current presentation while preserving continuity.</w:t>
      </w:r>
    </w:p>
    <w:p>
      <w:pPr>
        <w:pStyle w:val="ListBullet"/>
      </w:pPr>
      <w:r>
        <w:t>Compose Motion-owned transform channels safely with application transforms.</w:t>
      </w:r>
    </w:p>
    <w:p>
      <w:pPr>
        <w:pStyle w:val="ListBullet"/>
      </w:pPr>
      <w:r>
        <w:t>Restore/remove only Motion-owned constraints and presentation.</w:t>
      </w:r>
    </w:p>
    <w:p>
      <w:pPr>
        <w:pStyle w:val="Heading1"/>
      </w:pPr>
      <w:r>
        <w:t>10. GT integration expectations</w:t>
      </w:r>
    </w:p>
    <w:p>
      <w:pPr/>
      <w:r>
        <w:t>Motion is GT-focused and should be quietly moldable by design. Important runtime objects should be inspectable and navigable without creating a giant tooling layer up front.</w:t>
      </w:r>
    </w:p>
    <w:p>
      <w:pPr>
        <w:pStyle w:val="ListBullet"/>
      </w:pPr>
      <w:r>
        <w:t>Coordinator view: active operations, property ownership, conflicts, readiness and cleanup.</w:t>
      </w:r>
    </w:p>
    <w:p>
      <w:pPr>
        <w:pStyle w:val="ListBullet"/>
      </w:pPr>
      <w:r>
        <w:t>Operation view: state, subject, tracks, destination, policies and trace.</w:t>
      </w:r>
    </w:p>
    <w:p>
      <w:pPr>
        <w:pStyle w:val="ListBullet"/>
      </w:pPr>
      <w:r>
        <w:t>Snapshot/geometry view: coordinate space, captured bounds, validity and hierarchy context.</w:t>
      </w:r>
    </w:p>
    <w:p>
      <w:pPr>
        <w:pStyle w:val="ListBullet"/>
      </w:pPr>
      <w:r>
        <w:t>Readiness view: what is awaited, evidence and cleanup.</w:t>
      </w:r>
    </w:p>
    <w:p>
      <w:pPr>
        <w:pStyle w:val="ListBullet"/>
      </w:pPr>
      <w:r>
        <w:t>Effect view: primitive composition, parameters, examples and reduced alternative.</w:t>
      </w:r>
    </w:p>
    <w:p>
      <w:pPr>
        <w:pStyle w:val="ListBullet"/>
      </w:pPr>
      <w:r>
        <w:t>Examples return useful live Motion objects, not only rendered elements.</w:t>
      </w:r>
    </w:p>
    <w:p>
      <w:pPr>
        <w:pStyle w:val="ListBullet"/>
      </w:pPr>
      <w:r>
        <w:t>Failures carry relevant objects and explain violated invariants.</w:t>
      </w:r>
    </w:p>
    <w:p>
      <w:pPr>
        <w:pStyle w:val="Heading1"/>
      </w:pPr>
      <w:r>
        <w:t>11. Configuration Editor acceptance target</w:t>
      </w:r>
    </w:p>
    <w:p>
      <w:pPr/>
      <w:r>
        <w:t>The Configuration Editor is the first complex proving ground after isolated examples.</w:t>
      </w:r>
    </w:p>
    <w:p>
      <w:pPr>
        <w:pStyle w:val="ListBullet"/>
      </w:pPr>
      <w:r>
        <w:t>Two visual elements: drag representation under the pointer and separate drop preview in the target.</w:t>
      </w:r>
    </w:p>
    <w:p>
      <w:pPr>
        <w:pStyle w:val="ListBullet"/>
      </w:pPr>
      <w:r>
        <w:t>Closest valid nested container selected through one coherent visible-target/hit-test model.</w:t>
      </w:r>
    </w:p>
    <w:p>
      <w:pPr>
        <w:pStyle w:val="ListBullet"/>
      </w:pPr>
      <w:r>
        <w:t>Old gap closes while new gap opens; preview retargets between geometries simultaneously.</w:t>
      </w:r>
    </w:p>
    <w:p>
      <w:pPr>
        <w:pStyle w:val="ListBullet"/>
      </w:pPr>
      <w:r>
        <w:t>Container expansion, sibling displacement, gap and preview opacity may share one semantic transaction.</w:t>
      </w:r>
    </w:p>
    <w:p>
      <w:pPr>
        <w:pStyle w:val="ListBullet"/>
      </w:pPr>
      <w:r>
        <w:t>No uniform row-size assumptions and no index-based geometry heuristics.</w:t>
      </w:r>
    </w:p>
    <w:p>
      <w:pPr>
        <w:pStyle w:val="ListBullet"/>
      </w:pPr>
      <w:r>
        <w:t>Retarget starts from current preview presentation, never 0@0 or temporary overlay geometry.</w:t>
      </w:r>
    </w:p>
    <w:p>
      <w:pPr>
        <w:pStyle w:val="ListBullet"/>
      </w:pPr>
      <w:r>
        <w:t>Async Preparing content cannot define authoritative destination geometry.</w:t>
      </w:r>
    </w:p>
    <w:p>
      <w:pPr>
        <w:pStyle w:val="ListBullet"/>
      </w:pPr>
      <w:r>
        <w:t>Sidebar entry disables target/preview without leaking into editor targets.</w:t>
      </w:r>
    </w:p>
    <w:p>
      <w:pPr>
        <w:pStyle w:val="ListBullet"/>
      </w:pPr>
      <w:r>
        <w:t>Hover-open/user-open form state semantics are preserved on drop.</w:t>
      </w:r>
    </w:p>
    <w:p>
      <w:pPr>
        <w:pStyle w:val="ListBullet"/>
      </w:pPr>
      <w:r>
        <w:t>Successful adoption invalidates pending callbacks and clears all operation-owned presentation.</w:t>
      </w:r>
    </w:p>
    <w:p>
      <w:pPr>
        <w:pStyle w:val="ListBullet"/>
      </w:pPr>
      <w:r>
        <w:t>Second and later drops behave exactly like the first.</w:t>
      </w:r>
    </w:p>
    <w:p>
      <w:pPr>
        <w:pStyle w:val="Heading1"/>
      </w:pPr>
      <w:r>
        <w:t>12. Consequential choices still requiring source experiments</w:t>
      </w:r>
    </w:p>
    <w:tbl>
      <w:tblPr>
        <w:tblW w:type="auto" w:w="0"/>
        <w:jc w:val="center"/>
        <w:tblLook w:firstColumn="1" w:firstRow="1" w:lastColumn="0" w:lastRow="0" w:noHBand="0" w:noVBand="1" w:val="04A0"/>
      </w:tblPr>
      <w:tblGrid>
        <w:gridCol w:w="10166"/>
      </w:tblGrid>
      <w:tr>
        <w:tc>
          <w:tcPr>
            <w:tcW w:type="dxa" w:w="10166"/>
            <w:shd w:fill="EAF2F8"/>
          </w:tcPr>
          <w:p>
            <w:r>
              <w:rPr>
                <w:b/>
                <w:sz w:val="20"/>
              </w:rPr>
              <w:t>Transform composition</w:t>
            </w:r>
          </w:p>
          <w:p>
            <w:pPr>
              <w:spacing w:after="0"/>
            </w:pPr>
            <w:r>
              <w:t>Prefer a dedicated Motion-owned transform channel/layer if Bloc provides a safe composition seam. Full matrix decomposition/recomposition risks ownership and restoration errors. Verify against actual BlTransformation APIs before choosing.</w:t>
            </w:r>
          </w:p>
        </w:tc>
      </w:tr>
    </w:tbl>
    <w:p>
      <w:pPr>
        <w:spacing w:after="0"/>
      </w:pPr>
    </w:p>
    <w:tbl>
      <w:tblPr>
        <w:tblW w:type="auto" w:w="0"/>
        <w:jc w:val="center"/>
        <w:tblLook w:firstColumn="1" w:firstRow="1" w:lastColumn="0" w:lastRow="0" w:noHBand="0" w:noVBand="1" w:val="04A0"/>
      </w:tblPr>
      <w:tblGrid>
        <w:gridCol w:w="10166"/>
      </w:tblGrid>
      <w:tr>
        <w:tc>
          <w:tcPr>
            <w:tcW w:type="dxa" w:w="10166"/>
            <w:shd w:fill="EAF2F8"/>
          </w:tcPr>
          <w:p>
            <w:r>
              <w:rPr>
                <w:b/>
                <w:sz w:val="20"/>
              </w:rPr>
              <w:t>Geometry property shape</w:t>
            </w:r>
          </w:p>
          <w:p>
            <w:pPr>
              <w:spacing w:after="0"/>
            </w:pPr>
            <w:r>
              <w:t>Decide whether layout geometry is represented by one typed bounds property with component projections, or a small family of position/extent channels sharing one snapshot. The choice affects conflict ownership and retargeting.</w:t>
            </w:r>
          </w:p>
        </w:tc>
      </w:tr>
    </w:tbl>
    <w:p>
      <w:pPr>
        <w:spacing w:after="0"/>
      </w:pPr>
    </w:p>
    <w:tbl>
      <w:tblPr>
        <w:tblW w:type="auto" w:w="0"/>
        <w:jc w:val="center"/>
        <w:tblLook w:firstColumn="1" w:firstRow="1" w:lastColumn="0" w:lastRow="0" w:noHBand="0" w:noVBand="1" w:val="04A0"/>
      </w:tblPr>
      <w:tblGrid>
        <w:gridCol w:w="10166"/>
      </w:tblGrid>
      <w:tr>
        <w:tc>
          <w:tcPr>
            <w:tcW w:type="dxa" w:w="10166"/>
            <w:shd w:fill="EAF2F8"/>
          </w:tcPr>
          <w:p>
            <w:r>
              <w:rPr>
                <w:b/>
                <w:sz w:val="20"/>
              </w:rPr>
              <w:t>Coordinator storage</w:t>
            </w:r>
          </w:p>
          <w:p>
            <w:pPr>
              <w:spacing w:after="0"/>
            </w:pPr>
            <w:r>
              <w:t>Root userData is simple and space-local; a weak registry avoids root coupling but introduces global state. Keep the current direction unless source inspection shows root replacement hazards.</w:t>
            </w:r>
          </w:p>
        </w:tc>
      </w:tr>
    </w:tbl>
    <w:p>
      <w:pPr>
        <w:spacing w:after="0"/>
      </w:pPr>
    </w:p>
    <w:tbl>
      <w:tblPr>
        <w:tblW w:type="auto" w:w="0"/>
        <w:jc w:val="center"/>
        <w:tblLook w:firstColumn="1" w:firstRow="1" w:lastColumn="0" w:lastRow="0" w:noHBand="0" w:noVBand="1" w:val="04A0"/>
      </w:tblPr>
      <w:tblGrid>
        <w:gridCol w:w="10166"/>
      </w:tblGrid>
      <w:tr>
        <w:tc>
          <w:tcPr>
            <w:tcW w:type="dxa" w:w="10166"/>
            <w:shd w:fill="EAF2F8"/>
          </w:tcPr>
          <w:p>
            <w:r>
              <w:rPr>
                <w:b/>
                <w:sz w:val="20"/>
              </w:rPr>
              <w:t>Operation states</w:t>
            </w:r>
          </w:p>
          <w:p>
            <w:pPr>
              <w:spacing w:after="0"/>
            </w:pPr>
            <w:r>
              <w:t>Typed singleton state objects are the likely starting point. Promote to state-specific classes only where state owns meaningful protocol.</w:t>
            </w:r>
          </w:p>
        </w:tc>
      </w:tr>
    </w:tbl>
    <w:p>
      <w:pPr>
        <w:spacing w:after="0"/>
      </w:pPr>
    </w:p>
    <w:tbl>
      <w:tblPr>
        <w:tblW w:type="auto" w:w="0"/>
        <w:jc w:val="center"/>
        <w:tblLook w:firstColumn="1" w:firstRow="1" w:lastColumn="0" w:lastRow="0" w:noHBand="0" w:noVBand="1" w:val="04A0"/>
      </w:tblPr>
      <w:tblGrid>
        <w:gridCol w:w="10166"/>
      </w:tblGrid>
      <w:tr>
        <w:tc>
          <w:tcPr>
            <w:tcW w:type="dxa" w:w="10166"/>
            <w:shd w:fill="EAF2F8"/>
          </w:tcPr>
          <w:p>
            <w:r>
              <w:rPr>
                <w:b/>
                <w:sz w:val="20"/>
              </w:rPr>
              <w:t>Stable layout readiness</w:t>
            </w:r>
          </w:p>
          <w:p>
            <w:pPr>
              <w:spacing w:after="0"/>
            </w:pPr>
            <w:r>
              <w:t>Likely compose explicit semantic readiness with bounded geometry stability. Do not assume one pulse means ready.</w:t>
            </w:r>
          </w:p>
        </w:tc>
      </w:tr>
    </w:tbl>
    <w:p>
      <w:pPr>
        <w:spacing w:after="0"/>
      </w:pPr>
    </w:p>
    <w:tbl>
      <w:tblPr>
        <w:tblW w:type="auto" w:w="0"/>
        <w:jc w:val="center"/>
        <w:tblLook w:firstColumn="1" w:firstRow="1" w:lastColumn="0" w:lastRow="0" w:noHBand="0" w:noVBand="1" w:val="04A0"/>
      </w:tblPr>
      <w:tblGrid>
        <w:gridCol w:w="10166"/>
      </w:tblGrid>
      <w:tr>
        <w:tc>
          <w:tcPr>
            <w:tcW w:type="dxa" w:w="10166"/>
            <w:shd w:fill="EAF2F8"/>
          </w:tcPr>
          <w:p>
            <w:r>
              <w:rPr>
                <w:b/>
                <w:sz w:val="20"/>
              </w:rPr>
              <w:t>Effect composition API</w:t>
            </w:r>
          </w:p>
          <w:p>
            <w:pPr>
              <w:spacing w:after="0"/>
            </w:pPr>
            <w:r>
              <w:t>The library concept is required, but the exact fluent composition syntax is not frozen. Preserve typed primitive composition and ready-to-use named recipes; validate syntax through executable examples.</w:t>
            </w:r>
          </w:p>
        </w:tc>
      </w:tr>
    </w:tbl>
    <w:p>
      <w:pPr>
        <w:spacing w:after="0"/>
      </w:pPr>
    </w:p>
    <w:p>
      <w:pPr>
        <w:pStyle w:val="Heading1"/>
      </w:pPr>
      <w:r>
        <w:t>13. Source/archive set for Codex</w:t>
      </w:r>
    </w:p>
    <w:p>
      <w:pPr/>
      <w:r>
        <w:t>Use the latest available versions of:</w:t>
      </w:r>
    </w:p>
    <w:p>
      <w:pPr>
        <w:pStyle w:val="ListBullet"/>
      </w:pPr>
      <w:r>
        <w:t>CatalystFoundation source archive.</w:t>
      </w:r>
    </w:p>
    <w:p>
      <w:pPr>
        <w:pStyle w:val="ListBullet"/>
      </w:pPr>
      <w:r>
        <w:t>GTUI source archive.</w:t>
      </w:r>
    </w:p>
    <w:p>
      <w:pPr>
        <w:pStyle w:val="ListBullet"/>
      </w:pPr>
      <w:r>
        <w:t>GT Motion prototype/fix archive containing the green examples.</w:t>
      </w:r>
    </w:p>
    <w:p>
      <w:pPr>
        <w:pStyle w:val="ListBullet"/>
      </w:pPr>
      <w:r>
        <w:t>GT-Motion-Technical-Specification-Base-v1.1.docx.</w:t>
      </w:r>
    </w:p>
    <w:p>
      <w:pPr>
        <w:pStyle w:val="ListBullet"/>
      </w:pPr>
      <w:r>
        <w:t>GT-Motion-Features-Usage-and-Examples-Base-v1.1.docx.</w:t>
      </w:r>
    </w:p>
    <w:p>
      <w:pPr>
        <w:pStyle w:val="ListBullet"/>
      </w:pPr>
      <w:r>
        <w:t>This handover document.</w:t>
      </w:r>
    </w:p>
    <w:p>
      <w:pPr/>
      <w:r>
        <w:t>Runtime is intentionally absent at this stage. It becomes a Motion consumer later.</w:t>
      </w:r>
    </w:p>
    <w:p>
      <w:pPr>
        <w:pStyle w:val="Heading1"/>
      </w:pPr>
      <w:r>
        <w:t>14. Suggested Codex opening instruction</w:t>
      </w:r>
    </w:p>
    <w:p>
      <w:pPr>
        <w:pStyle w:val="CodeBlock"/>
      </w:pPr>
      <w:r>
        <w:t>We are continuing GT Motion, a dedicated GT / Bloc / Brick temporal UI framework in BVC Foundation.</w:t>
        <w:br/>
        <w:br/>
        <w:t>Read the handover and the two accompanying design documents. Treat those documents as hints to the ideals and current vocabulary, not as a frozen contract. Treat the latest GTUI and Catalyst Foundation sources and executable examples as truth.</w:t>
        <w:br/>
        <w:br/>
        <w:t>Deep-read the exact Bloc Animation, BlSpace frame/pulse/layout, bounds/coordinate, geometry and transformation APIs before changing implementation. Review Brick states, wishes and aptitudes where relevant.</w:t>
        <w:br/>
        <w:br/>
        <w:t>Begin by evaluating the current green opacity prototype against the desired shared operation spine. Propose the smallest source-grounded refactor that unifies lifecycle, ownership, retargeting, cancellation, tracing and cleanup. Do not add layout or effects features until that spine is coherent and executable examples are green.</w:t>
        <w:br/>
        <w:br/>
        <w:t>Do not guess. When a consequential design choice lacks a clearly superior source-grounded answer, stop and present the options and implications.</w:t>
        <w:br/>
        <w:br/>
        <w:t>Naming must be clean and right-sized:</w:t>
        <w:br/>
        <w:t>- properties use ordinary property selectors, such as opacity:;</w:t>
        <w:br/>
        <w:t>- semantic operations use verbs;</w:t>
        <w:br/>
        <w:t>- transaction directives name the participating change without animate prefixes;</w:t>
        <w:br/>
        <w:t>- geometry is foundational, with position/extent/width/height as projections;</w:t>
        <w:br/>
        <w:t>- complex effects compose from primitives but are also exposed as discoverable ready-to-use library recipes.</w:t>
        <w:br/>
        <w:br/>
        <w:t>Build for GT first. Keep every important runtime object inspectable and navigable, but let the design demonstrate that quietly rather than turning the framework into a tooling slogan.</w:t>
      </w:r>
    </w:p>
    <w:p>
      <w:pPr>
        <w:pStyle w:val="Heading1"/>
      </w:pPr>
      <w:r>
        <w:t>15. Final reminder</w:t>
      </w:r>
    </w:p>
    <w:tbl>
      <w:tblPr>
        <w:tblW w:type="auto" w:w="0"/>
        <w:jc w:val="center"/>
        <w:tblLook w:firstColumn="1" w:firstRow="1" w:lastColumn="0" w:lastRow="0" w:noHBand="0" w:noVBand="1" w:val="04A0"/>
      </w:tblPr>
      <w:tblGrid>
        <w:gridCol w:w="10166"/>
      </w:tblGrid>
      <w:tr>
        <w:tc>
          <w:tcPr>
            <w:tcW w:type="dxa" w:w="10166"/>
            <w:shd w:fill="EAF2F8"/>
          </w:tcPr>
          <w:p>
            <w:r>
              <w:rPr>
                <w:b/>
                <w:sz w:val="20"/>
              </w:rPr>
              <w:t>The documents are a compass, not handcuffs</w:t>
            </w:r>
          </w:p>
          <w:p>
            <w:pPr>
              <w:spacing w:after="0"/>
            </w:pPr>
            <w:r>
              <w:t>Review the design continuously against real Bloc and Brick behaviour. Improve names, object boundaries and protocols when source or executable examples reveal a cleaner fit. Preserve the ideals: GT-native, typed, discoverable, composable, inspectable, no hidden ownership, no geometry guesses, and simple things genuinely simple.</w:t>
            </w:r>
          </w:p>
        </w:tc>
      </w:tr>
    </w:tbl>
    <w:p>
      <w:pPr>
        <w:spacing w:after="0"/>
      </w:pP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BVC Foundation Motion • Handover •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GT Motion - Codex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44A7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F5F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5B65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40"/>
      <w:ind w:left="317" w:right="173"/>
      <w:shd w:fill="F3F5F7"/>
    </w:pPr>
    <w:rPr>
      <w:rFonts w:ascii="Menlo" w:hAnsi="Menl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