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GT Motion</w:t>
        <w:br/>
        <w:t>Codex Handover</w:t>
      </w:r>
    </w:p>
    <w:p>
      <w:pPr>
        <w:pStyle w:val="Subtitle"/>
      </w:pPr>
      <w:r>
        <w:t>Context, decisions, implementation status and working guidance for continuing the framework</w:t>
      </w:r>
    </w:p>
    <w:p>
      <w:pPr>
        <w:pStyle w:val="Heading1"/>
      </w:pPr>
      <w:r>
        <w:t>Current handover — 17 July 2026</w:t>
      </w:r>
    </w:p>
    <w:p>
      <w:pPr/>
      <w:r>
        <w:t>This section is the authoritative handover point for the next chat. It supersedes the 16 July implementation update and the older roadmap below wherever they differ. Source and executable examples remain the truth for implemented behaviour.</w:t>
      </w:r>
    </w:p>
    <w:p>
      <w:pPr>
        <w:pStyle w:val="Heading2"/>
      </w:pPr>
      <w:r>
        <w:t>Confirmed public model</w:t>
      </w:r>
    </w:p>
    <w:p>
      <w:pPr/>
      <w:r>
        <w:t>CFMotion is the one live running Motion. CFMotionBuilder is the common configuration and construction surface: it holds the element, duration, easing and other settings shared by every Motion, then builds a CFMotion.</w:t>
      </w:r>
    </w:p>
    <w:p>
      <w:pPr/>
      <w:r>
        <w:t>A simple named request builds and starts synchronously: element motion fadeOut. A customised named request uses an ordinary Smalltalk block as an explicit configuration boundary: element motion fadeIn: [ :builder | builder duration: 500 milliSeconds ]. Motion builds and starts immediately when that block returns. The block is not a framework object or an event handler.</w:t>
      </w:r>
    </w:p>
    <w:p>
      <w:pPr/>
      <w:r>
        <w:t>Named motions that have extra vocabulary use the appropriate configuration builder. Common settings such as duration: and easing: are shared; behaviour-specific settings such as distance:, bounciness: and colourShift: belong only to the builder for the named motion that understands them. Do not put every possible option on the generic builder.</w:t>
      </w:r>
    </w:p>
    <w:p>
      <w:pPr/>
      <w:r>
        <w:t>A complex custom Motion remains explicit and synchronous: configure an element-bound builder, send build to receive a CFMotion, then send start. Do not use a next-frame or end-of-cascade auto-start mechanism; Smalltalk has no reliable end-of-cascade boundary.</w:t>
      </w:r>
    </w:p>
    <w:p>
      <w:pPr>
        <w:pStyle w:val="Heading2"/>
      </w:pPr>
      <w:r>
        <w:t>Current implementation status</w:t>
      </w:r>
    </w:p>
    <w:p>
      <w:pPr/>
      <w:r>
        <w:t>The direct named API is now loaded and proved by focused executable examples. element motion continues to expose CFMotionBuilder; fadeIn, fadeIn: and fadeOut build and start synchronously. fadeIn: applies its ordinary configuration block before building and starting. Complex custom Motion remains the explicit builder, build, then start flow. No specialised configuration builder was added for these fades.</w:t>
      </w:r>
    </w:p>
    <w:p>
      <w:pPr/>
      <w:r>
        <w:t>The existing live gallery is intentionally not the model to preserve. It still uses gallery-owned click handlers and current-Motion state to replay demonstrations. The public API now exists, so rebuild it next: each Lepiter snippet must obtain its visual fixture from CFMotionGalleryExamples, issue one public Motion request, and return the visual. Users must never write handlers or retain current Motion state merely to use Motion.</w:t>
      </w:r>
    </w:p>
    <w:p>
      <w:pPr>
        <w:pStyle w:val="Heading2"/>
      </w:pPr>
      <w:r>
        <w:t>Naming and next-session discipline</w:t>
      </w:r>
    </w:p>
    <w:p>
      <w:pPr/>
      <w:r>
        <w:t>Do not invent names. Before adding a specialised configuration builder or any new public selector, state its role and proposed name and obtain approval. Avoid the words recipe and catalogue. Do not extend CFMotionEffectRecipe or treat effects as the public abstraction.</w:t>
      </w:r>
    </w:p>
    <w:p>
      <w:pPr/>
      <w:r>
        <w:t>Current next session: rebuild the Lepiter gallery around CFMotionGalleryExamples and add only the metadata needed to discover its public examples. Keep each snippet to one public Motion request and a returned visual. The direct API and its focused examples are complete; 89 selected Motion and Configuration Editor examples are green in GT. Before committing, run the intended Foundation suite, commit Foundation first, then update the workspace submodule pointer.</w:t>
      </w:r>
    </w:p>
    <w:tbl>
      <w:tblPr>
        <w:tblW w:type="auto" w:w="0"/>
        <w:jc w:val="center"/>
        <w:tblLook w:firstColumn="1" w:firstRow="1" w:lastColumn="0" w:lastRow="0" w:noHBand="0" w:noVBand="1" w:val="04A0"/>
      </w:tblPr>
      <w:tblGrid>
        <w:gridCol w:w="10166"/>
      </w:tblGrid>
      <w:tr>
        <w:tc>
          <w:tcPr>
            <w:tcW w:type="dxa" w:w="10166"/>
            <w:shd w:fill="EAF2F8"/>
          </w:tcPr>
          <w:p>
            <w:r>
              <w:rPr>
                <w:b/>
                <w:sz w:val="20"/>
              </w:rPr>
              <w:t>How to treat the accompanying documents</w:t>
            </w:r>
          </w:p>
          <w:p>
            <w:pPr>
              <w:spacing w:after="0"/>
            </w:pPr>
            <w:r>
              <w:t>The Technical Specification and Features, Usage and Examples documents describe the current ideals, vocabulary and intended direction. They are design hints and review aids, not a frozen contract. Treat source and executable examples as truth. Revisit the documents whenever implementation reveals a cleaner GT/Bloc/Brick-native design.</w:t>
            </w:r>
          </w:p>
        </w:tc>
      </w:tr>
    </w:tbl>
    <w:p>
      <w:pPr/>
      <w:r>
        <w:t>Accompanying documents:</w:t>
        <w:br/>
        <w:t>• GT-Motion-Technical-Specification-Base-v1.1.docx</w:t>
        <w:br/>
        <w:t>• GT-Motion-Features-Usage-and-Examples-Base-v1.1.docx</w:t>
      </w:r>
    </w:p>
    <w:p>
      <w:pPr>
        <w:pStyle w:val="Heading1"/>
      </w:pPr>
      <w:r>
        <w:t>Historical implementation update — 16 July 2026</w:t>
      </w:r>
    </w:p>
    <w:p>
      <w:pPr/>
      <w:r>
        <w:t>Naming checkpoint — 16 July 2026: CFMotion is the live running Motion; CFMotionState is its lifecycle state. The existing CFMotionEffectRecipe, CFMotionEffects and CFMotionAptitude vocabulary remains provisional and must not be extended or treated as the final public model until its role and name are agreed.</w:t>
      </w:r>
    </w:p>
    <w:p>
      <w:pPr/>
      <w:r>
        <w:t>This section is the current handover. It supersedes earlier prototype-status statements and any aspirational API claim that conflicts with the live Foundation source or its green executable examples.</w:t>
      </w:r>
    </w:p>
    <w:p>
      <w:pPr>
        <w:pStyle w:val="Heading2"/>
      </w:pPr>
      <w:r>
        <w:t>What is implemented now</w:t>
      </w:r>
    </w:p>
    <w:p>
      <w:pPr/>
      <w:r>
        <w:t>Motion now has one operational spine: CFMotion, CFMotionCoordinator, typed tracks and properties, explicit lifecycle state, trace, ownership and cleanup. The Core package also contains geometry snapshots/tracks, layout transactions and next-layout readiness. Effects adds reusable appearance recipes and aptitudes; Examples is the executable specification suite.</w:t>
      </w:r>
    </w:p>
    <w:p>
      <w:pPr/>
      <w:r>
        <w:t>The Configuration Editor is the first real consumer. Preview opacity is Motion-owned; placement translation is a shared CFMotion with CFMotionTranslationTrack instances. Its public inspection points are previewOpacityOperation and placementMotionOperation. Examples have been repeatedly run in GT and reported green through this integration work.</w:t>
      </w:r>
    </w:p>
    <w:p>
      <w:pPr>
        <w:pStyle w:val="Heading2"/>
      </w:pPr>
      <w:r>
        <w:t>Operational lessons that are now contract</w:t>
      </w:r>
    </w:p>
    <w:p>
      <w:pPr>
        <w:pStyle w:val="ListBullet"/>
      </w:pPr>
      <w:r>
        <w:t>A presented property has one Motion owner per subject/property/space. Replacement and retargeting begin from the current presentation, never the original source. Terminal paths release claims, observers, temporary transforms, constraints, overlays and callbacks.</w:t>
      </w:r>
    </w:p>
    <w:p>
      <w:pPr>
        <w:pStyle w:val="ListBullet"/>
      </w:pPr>
      <w:r>
        <w:t>Geometry snapshots are expressed in an explicit coordinate space; Bloc computes authoritative layout. A geometry track presents scale and translation. It is correct for geometric transform motion, but is not a generic substitute for content reveal.</w:t>
      </w:r>
    </w:p>
    <w:p>
      <w:pPr>
        <w:pStyle w:val="ListBullet"/>
      </w:pPr>
      <w:r>
        <w:t>To fade a preview, animate opacity on its compositing container. The preview root must be a single composition layer when its expanded children request their own layers. Do not fade every child: that hides a broken compositing boundary and multiplies alpha.</w:t>
      </w:r>
    </w:p>
    <w:p>
      <w:pPr>
        <w:pStyle w:val="ListBullet"/>
      </w:pPr>
      <w:r>
        <w:t>Equivalent interaction routes must converge on one idempotent terminal state. In the editor, off-canvas drag leave and repeated sidebar drag-over both cancel the same preview presentation once; repeated input must not restart the fade.</w:t>
      </w:r>
    </w:p>
    <w:p>
      <w:pPr>
        <w:pStyle w:val="ListBullet"/>
      </w:pPr>
      <w:r>
        <w:t>Adoption separates logical membership from visual presentation. The overlay owns the temporary visual while source/destination membership is committed; cleanup removes it deterministically.</w:t>
      </w:r>
    </w:p>
    <w:p>
      <w:pPr>
        <w:pStyle w:val="Heading2"/>
      </w:pPr>
      <w:r>
        <w:t>Recently completed implementation work</w:t>
      </w:r>
    </w:p>
    <w:p>
      <w:pPr/>
      <w:r>
        <w:t>The editor is now Motion-exclusive for hover expansion and collapse. CFMotionExtentTrack owns the temporary exact extent with clipping while the operation is active, then releases the node to fit-content at its destination. This preserves native-size text, controls and borders rather than applying a geometry-scale presentation.</w:t>
      </w:r>
    </w:p>
    <w:p>
      <w:pPr/>
      <w:r>
        <w:t>The focused vertical-extent work is complete. Executable examples cover completion, retargeting, cancellation, exact-constraint release and coordinated preview opacity; the Configuration Editor examples are green against the migrated hover path. The previous CFAnimationCoordinator/BlNumberTransition hover route is no longer the active path.</w:t>
      </w:r>
    </w:p>
    <w:p>
      <w:pPr>
        <w:pStyle w:val="Heading2"/>
      </w:pPr>
      <w:r>
        <w:t>Working order for the next session</w:t>
      </w:r>
    </w:p>
    <w:p>
      <w:pPr/>
      <w:r>
        <w:t>1. Rebuild the Lepiter gallery so each snippet uses a CFMotionGalleryExamples fixture and one public Motion request.  2. Add narrowly scoped gallery metadata only where it improves discovery.  3. Keep gallery interaction free of gallery-owned handlers and current-Motion state.  4. Run the intended Foundation suite in GT, then commit Foundation before updating the workspace submodule pointer.</w:t>
      </w:r>
    </w:p>
    <w:p>
      <w:pPr>
        <w:pStyle w:val="Heading1"/>
      </w:pPr>
      <w:r>
        <w:t>1. Mission</w:t>
      </w:r>
    </w:p>
    <w:p>
      <w:pPr/>
      <w:r>
        <w:t>Build a dedicated GT / Bloc / Brick motion framework in BVC Foundation. It must make ordinary animation extremely easy while supporting coordinated layout change, geometry and shape motion, interruption, retargeting, readiness, effects, behaviours, collections, temporal values and deep GT inspection.</w:t>
      </w:r>
    </w:p>
    <w:p>
      <w:pPr/>
      <w:r>
        <w:t>The framework is built from the ground up for GT and is therefore moldable by design. Runtime objects should naturally expose the context needed to understand and adapt behaviour, but the framework should not bury its core purpose under tooling terminology.</w:t>
      </w:r>
    </w:p>
    <w:p>
      <w:pPr/>
      <w:r>
        <w:t>Do not transplant a web, mobile or game animation architecture. External frameworks are references for useful patterns only. The target substrate is BlElement, BlSpace, Bloc pulse/layout/transforms/geometry/rendering, Brick states/wishes/aptitudes, and GT examples/inspectors.</w:t>
      </w:r>
    </w:p>
    <w:p>
      <w:pPr>
        <w:pStyle w:val="Heading1"/>
      </w:pPr>
      <w:r>
        <w:t>2. Non-negotiable working discipline</w:t>
      </w:r>
    </w:p>
    <w:p>
      <w:pPr>
        <w:pStyle w:val="ListBullet"/>
      </w:pPr>
      <w:r>
        <w:t>Treat the latest GTUI and Catalyst Foundation sources as the implementation sources of truth.</w:t>
      </w:r>
    </w:p>
    <w:p>
      <w:pPr>
        <w:pStyle w:val="ListBullet"/>
      </w:pPr>
      <w:r>
        <w:t>Quote and verify exact Bloc, Brick and Foundation protocols before changing behaviour.</w:t>
      </w:r>
    </w:p>
    <w:p>
      <w:pPr>
        <w:pStyle w:val="ListBullet"/>
      </w:pPr>
      <w:r>
        <w:t>Do not invent APIs, constructors, geometry conversions or lifecycle behaviour.</w:t>
      </w:r>
    </w:p>
    <w:p>
      <w:pPr>
        <w:pStyle w:val="ListBullet"/>
      </w:pPr>
      <w:r>
        <w:t>When uncertain, stop and ask rather than writing a plausible patch.</w:t>
      </w:r>
    </w:p>
    <w:p>
      <w:pPr>
        <w:pStyle w:val="ListBullet"/>
      </w:pPr>
      <w:r>
        <w:t>Build isolated executable examples first.</w:t>
      </w:r>
    </w:p>
    <w:p>
      <w:pPr>
        <w:pStyle w:val="ListBullet"/>
      </w:pPr>
      <w:r>
        <w:t>Include retargeting from the beginning.</w:t>
      </w:r>
    </w:p>
    <w:p>
      <w:pPr>
        <w:pStyle w:val="ListBullet"/>
      </w:pPr>
      <w:r>
        <w:t>Fix root causes; do not layer guards over invalid membership, geometry or ownership.</w:t>
      </w:r>
    </w:p>
    <w:p>
      <w:pPr>
        <w:pStyle w:val="ListBullet"/>
      </w:pPr>
      <w:r>
        <w:t>Delete existing Configuration Editor animation machinery only after equivalent Motion behaviour is proven.</w:t>
      </w:r>
    </w:p>
    <w:p>
      <w:pPr>
        <w:pStyle w:val="ListBullet"/>
      </w:pPr>
      <w:r>
        <w:t>Keep packages cohesive and dependency direction clean; never create a package per concept.</w:t>
      </w:r>
    </w:p>
    <w:p>
      <w:pPr>
        <w:pStyle w:val="ListBullet"/>
      </w:pPr>
      <w:r>
        <w:t>Every terminal operation must release all claims, handlers, transforms, constraints, overlays and callbacks.</w:t>
      </w:r>
    </w:p>
    <w:p>
      <w:pPr>
        <w:pStyle w:val="Heading1"/>
      </w:pPr>
      <w:r>
        <w:t>3. Settled structural decisions</w:t>
      </w:r>
    </w:p>
    <w:tbl>
      <w:tblPr>
        <w:tblW w:type="auto" w:w="0"/>
        <w:jc w:val="center"/>
        <w:tblLook w:firstColumn="1" w:firstRow="1" w:lastColumn="0" w:lastRow="0" w:noHBand="0" w:noVBand="1" w:val="04A0"/>
      </w:tblPr>
      <w:tblGrid>
        <w:gridCol w:w="5083"/>
        <w:gridCol w:w="5083"/>
      </w:tblGrid>
      <w:tr>
        <w:trPr>
          <w:tblHeader w:val="true"/>
        </w:trPr>
        <w:tc>
          <w:tcPr>
            <w:tcW w:type="dxa" w:w="5083"/>
            <w:shd w:fill="D9E7F5"/>
          </w:tcPr>
          <w:p>
            <w:r/>
            <w:r>
              <w:rPr>
                <w:b/>
                <w:sz w:val="18"/>
              </w:rPr>
              <w:t>Decision</w:t>
            </w:r>
          </w:p>
        </w:tc>
        <w:tc>
          <w:tcPr>
            <w:tcW w:type="dxa" w:w="5083"/>
            <w:shd w:fill="D9E7F5"/>
          </w:tcPr>
          <w:p>
            <w:r/>
            <w:r>
              <w:rPr>
                <w:b/>
                <w:sz w:val="18"/>
              </w:rPr>
              <w:t>Current direction</w:t>
            </w:r>
          </w:p>
        </w:tc>
      </w:tr>
      <w:tr>
        <w:tc>
          <w:tcPr>
            <w:tcW w:type="dxa" w:w="5083"/>
          </w:tcPr>
          <w:p>
            <w:r/>
            <w:r>
              <w:rPr>
                <w:b/>
                <w:sz w:val="18"/>
              </w:rPr>
              <w:t>Packages</w:t>
            </w:r>
          </w:p>
        </w:tc>
        <w:tc>
          <w:tcPr>
            <w:tcW w:type="dxa" w:w="5083"/>
          </w:tcPr>
          <w:p>
            <w:r/>
            <w:r>
              <w:rPr>
                <w:b w:val="0"/>
                <w:sz w:val="18"/>
              </w:rPr>
              <w:t>BVC-Foundation-Motion-Core, BVC-Foundation-Motion-Effects, BVC-Foundation-Motion-Examples.</w:t>
            </w:r>
          </w:p>
        </w:tc>
      </w:tr>
      <w:tr>
        <w:tc>
          <w:tcPr>
            <w:tcW w:type="dxa" w:w="5083"/>
          </w:tcPr>
          <w:p>
            <w:r/>
            <w:r>
              <w:rPr>
                <w:b/>
                <w:sz w:val="18"/>
              </w:rPr>
              <w:t>Class prefix</w:t>
            </w:r>
          </w:p>
        </w:tc>
        <w:tc>
          <w:tcPr>
            <w:tcW w:type="dxa" w:w="5083"/>
          </w:tcPr>
          <w:p>
            <w:r/>
            <w:r>
              <w:rPr>
                <w:b w:val="0"/>
                <w:sz w:val="18"/>
              </w:rPr>
              <w:t>CF. Keep Motion in Foundation for now.</w:t>
            </w:r>
          </w:p>
        </w:tc>
      </w:tr>
      <w:tr>
        <w:tc>
          <w:tcPr>
            <w:tcW w:type="dxa" w:w="5083"/>
          </w:tcPr>
          <w:p>
            <w:r/>
            <w:r>
              <w:rPr>
                <w:b/>
                <w:sz w:val="18"/>
              </w:rPr>
              <w:t>Package boundaries</w:t>
            </w:r>
          </w:p>
        </w:tc>
        <w:tc>
          <w:tcPr>
            <w:tcW w:type="dxa" w:w="5083"/>
          </w:tcPr>
          <w:p>
            <w:r/>
            <w:r>
              <w:rPr>
                <w:b w:val="0"/>
                <w:sz w:val="18"/>
              </w:rPr>
              <w:t>No Motion-Bloc or Motion-Brick packages. Bloc and Brick are substrate, not logical package groups.</w:t>
            </w:r>
          </w:p>
        </w:tc>
      </w:tr>
      <w:tr>
        <w:tc>
          <w:tcPr>
            <w:tcW w:type="dxa" w:w="5083"/>
          </w:tcPr>
          <w:p>
            <w:r/>
            <w:r>
              <w:rPr>
                <w:b/>
                <w:sz w:val="18"/>
              </w:rPr>
              <w:t>Coordinator</w:t>
            </w:r>
          </w:p>
        </w:tc>
        <w:tc>
          <w:tcPr>
            <w:tcW w:type="dxa" w:w="5083"/>
          </w:tcPr>
          <w:p>
            <w:r/>
            <w:r>
              <w:rPr>
                <w:b w:val="0"/>
                <w:sz w:val="18"/>
              </w:rPr>
              <w:t>One coordinator per BlSpace.</w:t>
            </w:r>
          </w:p>
        </w:tc>
      </w:tr>
      <w:tr>
        <w:tc>
          <w:tcPr>
            <w:tcW w:type="dxa" w:w="5083"/>
          </w:tcPr>
          <w:p>
            <w:r/>
            <w:r>
              <w:rPr>
                <w:b/>
                <w:sz w:val="18"/>
              </w:rPr>
              <w:t>Runtime</w:t>
            </w:r>
          </w:p>
        </w:tc>
        <w:tc>
          <w:tcPr>
            <w:tcW w:type="dxa" w:w="5083"/>
          </w:tcPr>
          <w:p>
            <w:r/>
            <w:r>
              <w:rPr>
                <w:b w:val="0"/>
                <w:sz w:val="18"/>
              </w:rPr>
              <w:t>Catalyst Runtime is a future consumer, not a current contributor or dependency.</w:t>
            </w:r>
          </w:p>
        </w:tc>
      </w:tr>
      <w:tr>
        <w:tc>
          <w:tcPr>
            <w:tcW w:type="dxa" w:w="5083"/>
          </w:tcPr>
          <w:p>
            <w:r/>
            <w:r>
              <w:rPr>
                <w:b/>
                <w:sz w:val="18"/>
              </w:rPr>
              <w:t>Examples</w:t>
            </w:r>
          </w:p>
        </w:tc>
        <w:tc>
          <w:tcPr>
            <w:tcW w:type="dxa" w:w="5083"/>
          </w:tcPr>
          <w:p>
            <w:r/>
            <w:r>
              <w:rPr>
                <w:b w:val="0"/>
                <w:sz w:val="18"/>
              </w:rPr>
              <w:t>Build isolated executable examples before integrating the Configuration Editor.</w:t>
            </w:r>
          </w:p>
        </w:tc>
      </w:tr>
      <w:tr>
        <w:tc>
          <w:tcPr>
            <w:tcW w:type="dxa" w:w="5083"/>
          </w:tcPr>
          <w:p>
            <w:r/>
            <w:r>
              <w:rPr>
                <w:b/>
                <w:sz w:val="18"/>
              </w:rPr>
              <w:t>Retargeting</w:t>
            </w:r>
          </w:p>
        </w:tc>
        <w:tc>
          <w:tcPr>
            <w:tcW w:type="dxa" w:w="5083"/>
          </w:tcPr>
          <w:p>
            <w:r/>
            <w:r>
              <w:rPr>
                <w:b w:val="0"/>
                <w:sz w:val="18"/>
              </w:rPr>
              <w:t>Must be supported immediately and must start from current presentation.</w:t>
            </w:r>
          </w:p>
        </w:tc>
      </w:tr>
      <w:tr>
        <w:tc>
          <w:tcPr>
            <w:tcW w:type="dxa" w:w="5083"/>
          </w:tcPr>
          <w:p>
            <w:r/>
            <w:r>
              <w:rPr>
                <w:b/>
                <w:sz w:val="18"/>
              </w:rPr>
              <w:t>Editor migration</w:t>
            </w:r>
          </w:p>
        </w:tc>
        <w:tc>
          <w:tcPr>
            <w:tcW w:type="dxa" w:w="5083"/>
          </w:tcPr>
          <w:p>
            <w:r/>
            <w:r>
              <w:rPr>
                <w:b w:val="0"/>
                <w:sz w:val="18"/>
              </w:rPr>
              <w:t>Delete replaced editor-specific animation machinery once Motion reaches equivalent behaviour.</w:t>
            </w:r>
          </w:p>
        </w:tc>
      </w:tr>
    </w:tbl>
    <w:p>
      <w:pPr>
        <w:pStyle w:val="Heading1"/>
      </w:pPr>
      <w:r>
        <w:t>4. Naming and API principles</w:t>
      </w:r>
    </w:p>
    <w:p>
      <w:pPr/>
      <w:r>
        <w:t>Naming must cleanly state intent, remain at the correct abstraction level and avoid repeating the framework context.</w:t>
      </w:r>
    </w:p>
    <w:tbl>
      <w:tblPr>
        <w:tblW w:type="auto" w:w="0"/>
        <w:jc w:val="center"/>
        <w:tblLook w:firstColumn="1" w:firstRow="1" w:lastColumn="0" w:lastRow="0" w:noHBand="0" w:noVBand="1" w:val="04A0"/>
      </w:tblPr>
      <w:tblGrid>
        <w:gridCol w:w="5083"/>
        <w:gridCol w:w="5083"/>
      </w:tblGrid>
      <w:tr>
        <w:trPr>
          <w:tblHeader w:val="true"/>
        </w:trPr>
        <w:tc>
          <w:tcPr>
            <w:tcW w:type="dxa" w:w="5083"/>
            <w:shd w:fill="D9E7F5"/>
          </w:tcPr>
          <w:p>
            <w:r/>
            <w:r>
              <w:rPr>
                <w:b/>
                <w:sz w:val="18"/>
              </w:rPr>
              <w:t>Principle</w:t>
            </w:r>
          </w:p>
        </w:tc>
        <w:tc>
          <w:tcPr>
            <w:tcW w:type="dxa" w:w="5083"/>
            <w:shd w:fill="D9E7F5"/>
          </w:tcPr>
          <w:p>
            <w:r/>
            <w:r>
              <w:rPr>
                <w:b/>
                <w:sz w:val="18"/>
              </w:rPr>
              <w:t>Example / implication</w:t>
            </w:r>
          </w:p>
        </w:tc>
      </w:tr>
      <w:tr>
        <w:tc>
          <w:tcPr>
            <w:tcW w:type="dxa" w:w="5083"/>
          </w:tcPr>
          <w:p>
            <w:r/>
            <w:r>
              <w:rPr>
                <w:b/>
                <w:sz w:val="18"/>
              </w:rPr>
              <w:t>Properties use ordinary property vocabulary</w:t>
            </w:r>
          </w:p>
        </w:tc>
        <w:tc>
          <w:tcPr>
            <w:tcW w:type="dxa" w:w="5083"/>
          </w:tcPr>
          <w:p>
            <w:r/>
            <w:r>
              <w:rPr>
                <w:b w:val="0"/>
                <w:sz w:val="18"/>
              </w:rPr>
              <w:t>element motion opacity: 0.8. No opacityTo:, animateOpacity: or magic property symbols.</w:t>
            </w:r>
          </w:p>
        </w:tc>
      </w:tr>
      <w:tr>
        <w:tc>
          <w:tcPr>
            <w:tcW w:type="dxa" w:w="5083"/>
          </w:tcPr>
          <w:p>
            <w:r/>
            <w:r>
              <w:rPr>
                <w:b/>
                <w:sz w:val="18"/>
              </w:rPr>
              <w:t>Semantic operations use verbs</w:t>
            </w:r>
          </w:p>
        </w:tc>
        <w:tc>
          <w:tcPr>
            <w:tcW w:type="dxa" w:w="5083"/>
          </w:tcPr>
          <w:p>
            <w:r/>
            <w:r>
              <w:rPr>
                <w:b w:val="0"/>
                <w:sz w:val="18"/>
              </w:rPr>
              <w:t>appear, disappear, expand, collapse, dismiss, return, reorder.</w:t>
            </w:r>
          </w:p>
        </w:tc>
      </w:tr>
      <w:tr>
        <w:tc>
          <w:tcPr>
            <w:tcW w:type="dxa" w:w="5083"/>
          </w:tcPr>
          <w:p>
            <w:r/>
            <w:r>
              <w:rPr>
                <w:b/>
                <w:sz w:val="18"/>
              </w:rPr>
              <w:t>Transaction directives name participating change</w:t>
            </w:r>
          </w:p>
        </w:tc>
        <w:tc>
          <w:tcPr>
            <w:tcW w:type="dxa" w:w="5083"/>
          </w:tcPr>
          <w:p>
            <w:r/>
            <w:r>
              <w:rPr>
                <w:b w:val="0"/>
                <w:sz w:val="18"/>
              </w:rPr>
              <w:t>geometryOf:, resize:, insert:into:at:, remove:, adopt:as:. Do not prefix with animate.</w:t>
            </w:r>
          </w:p>
        </w:tc>
      </w:tr>
      <w:tr>
        <w:tc>
          <w:tcPr>
            <w:tcW w:type="dxa" w:w="5083"/>
          </w:tcPr>
          <w:p>
            <w:r/>
            <w:r>
              <w:rPr>
                <w:b/>
                <w:sz w:val="18"/>
              </w:rPr>
              <w:t>Execution is explicit only when assembly is deferred</w:t>
            </w:r>
          </w:p>
        </w:tc>
        <w:tc>
          <w:tcPr>
            <w:tcW w:type="dxa" w:w="5083"/>
          </w:tcPr>
          <w:p>
            <w:r/>
            <w:r>
              <w:rPr>
                <w:b w:val="0"/>
                <w:sz w:val="18"/>
              </w:rPr>
              <w:t>A multi-message transaction ends with play. A simple property convenience may start immediately.</w:t>
            </w:r>
          </w:p>
        </w:tc>
      </w:tr>
      <w:tr>
        <w:tc>
          <w:tcPr>
            <w:tcW w:type="dxa" w:w="5083"/>
          </w:tcPr>
          <w:p>
            <w:r/>
            <w:r>
              <w:rPr>
                <w:b/>
                <w:sz w:val="18"/>
              </w:rPr>
              <w:t>Opposites are symmetrical</w:t>
            </w:r>
          </w:p>
        </w:tc>
        <w:tc>
          <w:tcPr>
            <w:tcW w:type="dxa" w:w="5083"/>
          </w:tcPr>
          <w:p>
            <w:r/>
            <w:r>
              <w:rPr>
                <w:b w:val="0"/>
                <w:sz w:val="18"/>
              </w:rPr>
              <w:t>fadeIn/fadeOut, scaleAndFadeIn/scaleAndFadeOut, riseAndFadeIn/fallAndFadeOut.</w:t>
            </w:r>
          </w:p>
        </w:tc>
      </w:tr>
      <w:tr>
        <w:tc>
          <w:tcPr>
            <w:tcW w:type="dxa" w:w="5083"/>
          </w:tcPr>
          <w:p>
            <w:r/>
            <w:r>
              <w:rPr>
                <w:b/>
                <w:sz w:val="18"/>
              </w:rPr>
              <w:t>Names describe observable treatment</w:t>
            </w:r>
          </w:p>
        </w:tc>
        <w:tc>
          <w:tcPr>
            <w:tcW w:type="dxa" w:w="5083"/>
          </w:tcPr>
          <w:p>
            <w:r/>
            <w:r>
              <w:rPr>
                <w:b w:val="0"/>
                <w:sz w:val="18"/>
              </w:rPr>
              <w:t>Avoid dramatic names such as beautifulReveal or magicLift.</w:t>
            </w:r>
          </w:p>
        </w:tc>
      </w:tr>
      <w:tr>
        <w:tc>
          <w:tcPr>
            <w:tcW w:type="dxa" w:w="5083"/>
          </w:tcPr>
          <w:p>
            <w:r/>
            <w:r>
              <w:rPr>
                <w:b/>
                <w:sz w:val="18"/>
              </w:rPr>
              <w:t>Complex library effects are first-class</w:t>
            </w:r>
          </w:p>
        </w:tc>
        <w:tc>
          <w:tcPr>
            <w:tcW w:type="dxa" w:w="5083"/>
          </w:tcPr>
          <w:p>
            <w:r/>
            <w:r>
              <w:rPr>
                <w:b w:val="0"/>
                <w:sz w:val="18"/>
              </w:rPr>
              <w:t>Ready-to-use composed effects must be easy to discover and inspect, while being built from smaller typed primitives.</w:t>
            </w:r>
          </w:p>
        </w:tc>
      </w:tr>
    </w:tbl>
    <w:p>
      <w:pPr>
        <w:pStyle w:val="Heading2"/>
      </w:pPr>
      <w:r>
        <w:t>4.1 Effect library levels</w:t>
      </w:r>
    </w:p>
    <w:p>
      <w:pPr/>
      <w:r>
        <w:t>Primitive effects are focused composition units:</w:t>
      </w:r>
    </w:p>
    <w:p>
      <w:pPr>
        <w:pStyle w:val="CodeBlock"/>
      </w:pPr>
      <w:r>
        <w:t>CFMotionEffects fade.</w:t>
        <w:br/>
        <w:t>CFMotionEffects translate.</w:t>
        <w:br/>
        <w:t>CFMotionEffects scale.</w:t>
        <w:br/>
        <w:t>CFMotionEffects blur.</w:t>
        <w:br/>
        <w:t>CFMotionEffects followPath.</w:t>
      </w:r>
    </w:p>
    <w:p>
      <w:pPr/>
      <w:r>
        <w:t>Composed library effects are complete, named recipes:</w:t>
      </w:r>
    </w:p>
    <w:p>
      <w:pPr>
        <w:pStyle w:val="CodeBlock"/>
      </w:pPr>
      <w:r>
        <w:t>CFMotionEffects riseAndFadeIn.</w:t>
        <w:br/>
        <w:t>CFMotionEffects fallAndFadeOut.</w:t>
        <w:br/>
        <w:t>CFMotionEffects scaleAndFadeIn.</w:t>
        <w:br/>
        <w:t>CFMotionEffects scaleAndFadeOut.</w:t>
        <w:br/>
        <w:t>CFMotionEffects flingOut.</w:t>
        <w:br/>
        <w:t>CFMotionEffects springBack.</w:t>
      </w:r>
    </w:p>
    <w:p>
      <w:pPr/>
      <w:r>
        <w:t>The semantic operation owns appearance/disappearance, visibility, insertion/removal and completion. The effect defines the presentation recipe.</w:t>
      </w:r>
    </w:p>
    <w:p>
      <w:pPr>
        <w:pStyle w:val="Heading1"/>
      </w:pPr>
      <w:r>
        <w:t>5. Geometry is foundational</w:t>
      </w:r>
    </w:p>
    <w:p>
      <w:pPr/>
      <w:r>
        <w:t>Geometry motion must be a first-class concept. Height and width are not unrelated special animations; they are constrained views of layout geometry.</w:t>
      </w:r>
    </w:p>
    <w:p>
      <w:pPr>
        <w:pStyle w:val="Heading2"/>
      </w:pPr>
      <w:r>
        <w:t>5.1 Layout geometry</w:t>
      </w:r>
    </w:p>
    <w:p>
      <w:pPr/>
      <w:r>
        <w:t>Layout geometry includes position and extent in one declared coordinate space. Bloc remains authoritative. Motion captures pre-mutation geometry and Bloc-computed post-layout geometry, then presents the transition.</w:t>
      </w:r>
    </w:p>
    <w:p>
      <w:pPr>
        <w:pStyle w:val="CodeBlock"/>
      </w:pPr>
      <w:r>
        <w:t>element motion geometry: destinationBounds.</w:t>
        <w:br/>
        <w:br/>
        <w:t>container motion</w:t>
        <w:br/>
        <w:t xml:space="preserve">    layout;</w:t>
        <w:br/>
        <w:t xml:space="preserve">    affecting: affectedElements;</w:t>
        <w:br/>
        <w:t xml:space="preserve">    mutate: [ panel beExpanded ];</w:t>
        <w:br/>
        <w:t xml:space="preserve">    geometryOf: panel;</w:t>
        <w:br/>
        <w:t xml:space="preserve">    play.</w:t>
      </w:r>
    </w:p>
    <w:p>
      <w:pPr/>
      <w:r>
        <w:t>Focused projections may include:</w:t>
      </w:r>
    </w:p>
    <w:p>
      <w:pPr>
        <w:pStyle w:val="CodeBlock"/>
      </w:pPr>
      <w:r>
        <w:t>transaction positionOf: panel.</w:t>
        <w:br/>
        <w:t>transaction extentOf: panel.</w:t>
        <w:br/>
        <w:t>transaction widthOf: panel.</w:t>
        <w:br/>
        <w:t>transaction heightOf: panel.</w:t>
      </w:r>
    </w:p>
    <w:p>
      <w:pPr/>
      <w:r>
        <w:t>These should all use the same geometry machinery and merely select components. Motion never invents or hard-codes destination dimensions.</w:t>
      </w:r>
    </w:p>
    <w:p>
      <w:pPr>
        <w:pStyle w:val="Heading2"/>
      </w:pPr>
      <w:r>
        <w:t>5.2 Shape geometry</w:t>
      </w:r>
    </w:p>
    <w:p>
      <w:pPr/>
      <w:r>
        <w:t>Rendered shape is related but distinct from layout bounds. Motion must support interpolation of compatible Bloc geometry or shape types without creating a competing geometry model.</w:t>
      </w:r>
    </w:p>
    <w:p>
      <w:pPr>
        <w:pStyle w:val="CodeBlock"/>
      </w:pPr>
      <w:r>
        <w:t>element motion shape: destinationShape.</w:t>
      </w:r>
    </w:p>
    <w:p>
      <w:pPr/>
      <w:r>
        <w:t>Rectangle-to-rounded-rectangle, compatible path morphing and other shape transitions require typed adapters/interpolators. Unsupported pairs should fail clearly rather than performing magical conversion.</w:t>
      </w:r>
    </w:p>
    <w:p>
      <w:pPr>
        <w:pStyle w:val="Heading1"/>
      </w:pPr>
      <w:r>
        <w:t>6. Current implementation status</w:t>
      </w:r>
    </w:p>
    <w:p>
      <w:pPr/>
      <w:r>
        <w:t>An initial Phase 1 prototype was created in the three Motion packages. The examples are currently green after two fixes.</w:t>
      </w:r>
    </w:p>
    <w:tbl>
      <w:tblPr>
        <w:tblW w:type="auto" w:w="0"/>
        <w:jc w:val="center"/>
        <w:tblLook w:firstColumn="1" w:firstRow="1" w:lastColumn="0" w:lastRow="0" w:noHBand="0" w:noVBand="1" w:val="04A0"/>
      </w:tblPr>
      <w:tblGrid>
        <w:gridCol w:w="5083"/>
        <w:gridCol w:w="5083"/>
      </w:tblGrid>
      <w:tr>
        <w:trPr>
          <w:tblHeader w:val="true"/>
        </w:trPr>
        <w:tc>
          <w:tcPr>
            <w:tcW w:type="dxa" w:w="5083"/>
            <w:shd w:fill="D9E7F5"/>
          </w:tcPr>
          <w:p>
            <w:r/>
            <w:r>
              <w:rPr>
                <w:b/>
                <w:sz w:val="18"/>
              </w:rPr>
              <w:t>Area</w:t>
            </w:r>
          </w:p>
        </w:tc>
        <w:tc>
          <w:tcPr>
            <w:tcW w:type="dxa" w:w="5083"/>
            <w:shd w:fill="D9E7F5"/>
          </w:tcPr>
          <w:p>
            <w:r/>
            <w:r>
              <w:rPr>
                <w:b/>
                <w:sz w:val="18"/>
              </w:rPr>
              <w:t>State</w:t>
            </w:r>
          </w:p>
        </w:tc>
      </w:tr>
      <w:tr>
        <w:tc>
          <w:tcPr>
            <w:tcW w:type="dxa" w:w="5083"/>
          </w:tcPr>
          <w:p>
            <w:r/>
            <w:r>
              <w:rPr>
                <w:b/>
                <w:sz w:val="18"/>
              </w:rPr>
              <w:t>CFMotion / CFMotionBuilder</w:t>
            </w:r>
          </w:p>
        </w:tc>
        <w:tc>
          <w:tcPr>
            <w:tcW w:type="dxa" w:w="5083"/>
          </w:tcPr>
          <w:p>
            <w:r/>
            <w:r>
              <w:rPr>
                <w:b w:val="0"/>
                <w:sz w:val="18"/>
              </w:rPr>
              <w:t>Entry and basic builder prototype.</w:t>
            </w:r>
          </w:p>
        </w:tc>
      </w:tr>
      <w:tr>
        <w:tc>
          <w:tcPr>
            <w:tcW w:type="dxa" w:w="5083"/>
          </w:tcPr>
          <w:p>
            <w:r/>
            <w:r>
              <w:rPr>
                <w:b/>
                <w:sz w:val="18"/>
              </w:rPr>
              <w:t>CFMotionCoordinator</w:t>
            </w:r>
          </w:p>
        </w:tc>
        <w:tc>
          <w:tcPr>
            <w:tcW w:type="dxa" w:w="5083"/>
          </w:tcPr>
          <w:p>
            <w:r/>
            <w:r>
              <w:rPr>
                <w:b w:val="0"/>
                <w:sz w:val="18"/>
              </w:rPr>
              <w:t>Per-space ownership prototype using the space/root relationship.</w:t>
            </w:r>
          </w:p>
        </w:tc>
      </w:tr>
      <w:tr>
        <w:tc>
          <w:tcPr>
            <w:tcW w:type="dxa" w:w="5083"/>
          </w:tcPr>
          <w:p>
            <w:r/>
            <w:r>
              <w:rPr>
                <w:b/>
                <w:sz w:val="18"/>
              </w:rPr>
              <w:t>CFMotionProperty / CFOpacityMotionProperty</w:t>
            </w:r>
          </w:p>
        </w:tc>
        <w:tc>
          <w:tcPr>
            <w:tcW w:type="dxa" w:w="5083"/>
          </w:tcPr>
          <w:p>
            <w:r/>
            <w:r>
              <w:rPr>
                <w:b w:val="0"/>
                <w:sz w:val="18"/>
              </w:rPr>
              <w:t>Typed opacity property prototype.</w:t>
            </w:r>
          </w:p>
        </w:tc>
      </w:tr>
      <w:tr>
        <w:tc>
          <w:tcPr>
            <w:tcW w:type="dxa" w:w="5083"/>
          </w:tcPr>
          <w:p>
            <w:r/>
            <w:r>
              <w:rPr>
                <w:b/>
                <w:sz w:val="18"/>
              </w:rPr>
              <w:t>legacy property-motion prototype</w:t>
            </w:r>
          </w:p>
        </w:tc>
        <w:tc>
          <w:tcPr>
            <w:tcW w:type="dxa" w:w="5083"/>
          </w:tcPr>
          <w:p>
            <w:r/>
            <w:r>
              <w:rPr>
                <w:b w:val="0"/>
                <w:sz w:val="18"/>
              </w:rPr>
              <w:t>Opacity execution and retargeting prototype.</w:t>
            </w:r>
          </w:p>
        </w:tc>
      </w:tr>
      <w:tr>
        <w:tc>
          <w:tcPr>
            <w:tcW w:type="dxa" w:w="5083"/>
          </w:tcPr>
          <w:p>
            <w:r/>
            <w:r>
              <w:rPr>
                <w:b/>
                <w:sz w:val="18"/>
              </w:rPr>
              <w:t>CFMotionPropertyKey</w:t>
            </w:r>
          </w:p>
        </w:tc>
        <w:tc>
          <w:tcPr>
            <w:tcW w:type="dxa" w:w="5083"/>
          </w:tcPr>
          <w:p>
            <w:r/>
            <w:r>
              <w:rPr>
                <w:b w:val="0"/>
                <w:sz w:val="18"/>
              </w:rPr>
              <w:t>Subject/property identity with fixed accessors.</w:t>
            </w:r>
          </w:p>
        </w:tc>
      </w:tr>
      <w:tr>
        <w:tc>
          <w:tcPr>
            <w:tcW w:type="dxa" w:w="5083"/>
          </w:tcPr>
          <w:p>
            <w:r/>
            <w:r>
              <w:rPr>
                <w:b/>
                <w:sz w:val="18"/>
              </w:rPr>
              <w:t>CFMotionSnapshot / CFMotionLayoutTransaction</w:t>
            </w:r>
          </w:p>
        </w:tc>
        <w:tc>
          <w:tcPr>
            <w:tcW w:type="dxa" w:w="5083"/>
          </w:tcPr>
          <w:p>
            <w:r/>
            <w:r>
              <w:rPr>
                <w:b w:val="0"/>
                <w:sz w:val="18"/>
              </w:rPr>
              <w:t>Early layout prototype exists but should not be treated as the final architecture.</w:t>
            </w:r>
          </w:p>
        </w:tc>
      </w:tr>
      <w:tr>
        <w:tc>
          <w:tcPr>
            <w:tcW w:type="dxa" w:w="5083"/>
          </w:tcPr>
          <w:p>
            <w:r/>
            <w:r>
              <w:rPr>
                <w:b/>
                <w:sz w:val="18"/>
              </w:rPr>
              <w:t>Effects package</w:t>
            </w:r>
          </w:p>
        </w:tc>
        <w:tc>
          <w:tcPr>
            <w:tcW w:type="dxa" w:w="5083"/>
          </w:tcPr>
          <w:p>
            <w:r/>
            <w:r>
              <w:rPr>
                <w:b w:val="0"/>
                <w:sz w:val="18"/>
              </w:rPr>
              <w:t>Simple fade effect establishes dependency direction only.</w:t>
            </w:r>
          </w:p>
        </w:tc>
      </w:tr>
      <w:tr>
        <w:tc>
          <w:tcPr>
            <w:tcW w:type="dxa" w:w="5083"/>
          </w:tcPr>
          <w:p>
            <w:r/>
            <w:r>
              <w:rPr>
                <w:b/>
                <w:sz w:val="18"/>
              </w:rPr>
              <w:t>Examples</w:t>
            </w:r>
          </w:p>
        </w:tc>
        <w:tc>
          <w:tcPr>
            <w:tcW w:type="dxa" w:w="5083"/>
          </w:tcPr>
          <w:p>
            <w:r/>
            <w:r>
              <w:rPr>
                <w:b w:val="0"/>
                <w:sz w:val="18"/>
              </w:rPr>
              <w:t>Opacity motion, opacity retargeting, fade effect and layout transaction examples; reported green.</w:t>
            </w:r>
          </w:p>
        </w:tc>
      </w:tr>
      <w:tr>
        <w:tc>
          <w:tcPr>
            <w:tcW w:type="dxa" w:w="5083"/>
          </w:tcPr>
          <w:p>
            <w:r/>
            <w:r>
              <w:rPr>
                <w:b/>
                <w:sz w:val="18"/>
              </w:rPr>
              <w:t>Metacello baseline</w:t>
            </w:r>
          </w:p>
        </w:tc>
        <w:tc>
          <w:tcPr>
            <w:tcW w:type="dxa" w:w="5083"/>
          </w:tcPr>
          <w:p>
            <w:r/>
            <w:r>
              <w:rPr>
                <w:b w:val="0"/>
                <w:sz w:val="18"/>
              </w:rPr>
              <w:t>Motion packages added with Core &lt;- Effects &lt;- Examples dependency direction and included in the Pharo UI group.</w:t>
            </w:r>
          </w:p>
        </w:tc>
      </w:tr>
    </w:tbl>
    <w:p>
      <w:pPr>
        <w:pStyle w:val="Heading2"/>
      </w:pPr>
      <w:r>
        <w:t>6.1 Defects already found and fixed</w:t>
      </w:r>
    </w:p>
    <w:p>
      <w:pPr>
        <w:pStyle w:val="ListBullet"/>
      </w:pPr>
      <w:r>
        <w:t>Bounds conversion originally passed a coordinate wrapper where mutable BlBounds was expected. This was corrected using source-grounded Bloc bounds conversion.</w:t>
      </w:r>
    </w:p>
    <w:p>
      <w:pPr>
        <w:pStyle w:val="ListBullet"/>
      </w:pPr>
      <w:r>
        <w:t>CFMotionPropertyKey equality required missing element/property accessors. They were added.</w:t>
      </w:r>
    </w:p>
    <w:p>
      <w:pPr>
        <w:pStyle w:val="ListBullet"/>
      </w:pPr>
      <w:r>
        <w:t>CFMotionBuilder&gt;&gt;opacityTo: originally discarded the existing retargeted operation because a trailing yourself returned the unused new operation. The return path was fixed.</w:t>
      </w:r>
    </w:p>
    <w:p>
      <w:pPr/>
      <w:r>
        <w:t>The naming in the prototype predates the current API direction. For example opacityTo: should be revisited rather than preserved for compatibility.</w:t>
      </w:r>
    </w:p>
    <w:p>
      <w:pPr>
        <w:pStyle w:val="Heading1"/>
      </w:pPr>
      <w:r>
        <w:t>7. Architectural correction before adding features</w:t>
      </w:r>
    </w:p>
    <w:tbl>
      <w:tblPr>
        <w:tblW w:type="auto" w:w="0"/>
        <w:jc w:val="center"/>
        <w:tblLook w:firstColumn="1" w:firstRow="1" w:lastColumn="0" w:lastRow="0" w:noHBand="0" w:noVBand="1" w:val="04A0"/>
      </w:tblPr>
      <w:tblGrid>
        <w:gridCol w:w="10166"/>
      </w:tblGrid>
      <w:tr>
        <w:tc>
          <w:tcPr>
            <w:tcW w:type="dxa" w:w="10166"/>
            <w:shd w:fill="FCE4D6"/>
          </w:tcPr>
          <w:p>
            <w:r>
              <w:rPr>
                <w:b/>
                <w:sz w:val="20"/>
              </w:rPr>
              <w:t>Do not extend the two separate mini-engines</w:t>
            </w:r>
          </w:p>
          <w:p>
            <w:pPr>
              <w:spacing w:after="0"/>
            </w:pPr>
            <w:r>
              <w:t>The current property operation and layout transaction should not grow independently. Before serious layout, geometry or effects work, establish one shared operation spine for lifecycle, ownership, retargeting, cancellation, tracing and cleanup.</w:t>
            </w:r>
          </w:p>
        </w:tc>
      </w:tr>
    </w:tbl>
    <w:p>
      <w:pPr>
        <w:spacing w:after="0"/>
      </w:pPr>
    </w:p>
    <w:p>
      <w:pPr/>
      <w:r>
        <w:t>The likely smallest coherent shared model is:</w:t>
      </w:r>
    </w:p>
    <w:p>
      <w:pPr>
        <w:pStyle w:val="CodeBlock"/>
      </w:pPr>
      <w:r>
        <w:t>CFMotion</w:t>
        <w:br/>
        <w:t>CFMotionState</w:t>
        <w:br/>
        <w:t>CFMotionCoordinator</w:t>
        <w:br/>
        <w:t>CFMotionTrack</w:t>
        <w:br/>
        <w:t>CFMotionPropertyTrack</w:t>
        <w:br/>
        <w:t>CFMotionProperty</w:t>
        <w:br/>
        <w:t>CFMotionPropertyKey</w:t>
        <w:br/>
        <w:t>CFMotionTrace</w:t>
        <w:br/>
        <w:t>CFMotionTraceEntry</w:t>
      </w:r>
    </w:p>
    <w:p>
      <w:pPr/>
      <w:r>
        <w:t>legacy property-motion prototype should become a thin specialization or disappear into a configured CFMotion. Layout operations should consume the same spine rather than implementing their own generations, cancellation and callbacks.</w:t>
      </w:r>
    </w:p>
    <w:p>
      <w:pPr>
        <w:pStyle w:val="Heading1"/>
      </w:pPr>
      <w:r>
        <w:t>8. Recommended next implementation step</w:t>
      </w:r>
    </w:p>
    <w:p>
      <w:pPr/>
      <w:r>
        <w:t>Refactor the green opacity prototype into the shared inspectable operation/track lifecycle before implementing geometry or replacing editor machinery.</w:t>
      </w:r>
    </w:p>
    <w:p>
      <w:pPr>
        <w:pStyle w:val="Heading2"/>
      </w:pPr>
      <w:r>
        <w:t>8.1 Minimum vertical slice</w:t>
      </w:r>
    </w:p>
    <w:p>
      <w:pPr>
        <w:pStyle w:val="ListBullet"/>
      </w:pPr>
      <w:r>
        <w:t>One CFMotion lifecycle shared by all future motion.</w:t>
      </w:r>
    </w:p>
    <w:p>
      <w:pPr>
        <w:pStyle w:val="ListBullet"/>
      </w:pPr>
      <w:r>
        <w:t>Typed opacity property track.</w:t>
      </w:r>
    </w:p>
    <w:p>
      <w:pPr>
        <w:pStyle w:val="ListBullet"/>
      </w:pPr>
      <w:r>
        <w:t>One owner per subject/property within the BlSpace coordinator.</w:t>
      </w:r>
    </w:p>
    <w:p>
      <w:pPr>
        <w:pStyle w:val="ListBullet"/>
      </w:pPr>
      <w:r>
        <w:t>Retarget from current presented opacity.</w:t>
      </w:r>
    </w:p>
    <w:p>
      <w:pPr>
        <w:pStyle w:val="ListBullet"/>
      </w:pPr>
      <w:r>
        <w:t>Replacement and cancellation policies.</w:t>
      </w:r>
    </w:p>
    <w:p>
      <w:pPr>
        <w:pStyle w:val="ListBullet"/>
      </w:pPr>
      <w:r>
        <w:t>Generation or operation identity guarding obsolete Bloc completion callbacks.</w:t>
      </w:r>
    </w:p>
    <w:p>
      <w:pPr>
        <w:pStyle w:val="ListBullet"/>
      </w:pPr>
      <w:r>
        <w:t>Structured trace/state sufficient for GT inspection.</w:t>
      </w:r>
    </w:p>
    <w:p>
      <w:pPr>
        <w:pStyle w:val="ListBullet"/>
      </w:pPr>
      <w:r>
        <w:t>Complete cleanup and ownership release.</w:t>
      </w:r>
    </w:p>
    <w:p>
      <w:pPr>
        <w:pStyle w:val="Heading2"/>
      </w:pPr>
      <w:r>
        <w:t>8.2 Executable examples to make green</w:t>
      </w:r>
    </w:p>
    <w:p>
      <w:pPr>
        <w:pStyle w:val="CodeBlock"/>
      </w:pPr>
      <w:r>
        <w:t>opacityCompletes</w:t>
        <w:br/>
        <w:t>opacityRetargetsFromCurrentPresentation</w:t>
        <w:br/>
        <w:t>opacityReplacementKeepsOneOwner</w:t>
        <w:br/>
        <w:t>opacityCancellationPreservesCurrentPresentation</w:t>
        <w:br/>
        <w:t>opacityCleanupReleasesOwnership</w:t>
        <w:br/>
        <w:t>opacityOperationIsInspectable</w:t>
      </w:r>
    </w:p>
    <w:p>
      <w:pPr/>
      <w:r>
        <w:t>Only after these are green should layout geometry be rebuilt on the shared spine.</w:t>
      </w:r>
    </w:p>
    <w:p>
      <w:pPr>
        <w:pStyle w:val="Heading1"/>
      </w:pPr>
      <w:r>
        <w:t>9. Next geometry/layout phase</w:t>
      </w:r>
    </w:p>
    <w:p>
      <w:pPr/>
      <w:r>
        <w:t>The next phase should introduce a layout/geometry operation using explicit participants, one coordinate space and typed readiness.</w:t>
      </w:r>
    </w:p>
    <w:p>
      <w:pPr>
        <w:pStyle w:val="ListBullet"/>
      </w:pPr>
      <w:r>
        <w:t>Capture current presentation for declared participants before mutation.</w:t>
      </w:r>
    </w:p>
    <w:p>
      <w:pPr>
        <w:pStyle w:val="ListBullet"/>
      </w:pPr>
      <w:r>
        <w:t>Apply authoritative mutation exactly once.</w:t>
      </w:r>
    </w:p>
    <w:p>
      <w:pPr>
        <w:pStyle w:val="ListBullet"/>
      </w:pPr>
      <w:r>
        <w:t>Wait through a real readiness strategy, not a single postpone: call.</w:t>
      </w:r>
    </w:p>
    <w:p>
      <w:pPr>
        <w:pStyle w:val="ListBullet"/>
      </w:pPr>
      <w:r>
        <w:t>Let Bloc perform layout and capture resulting geometry.</w:t>
      </w:r>
    </w:p>
    <w:p>
      <w:pPr>
        <w:pStyle w:val="ListBullet"/>
      </w:pPr>
      <w:r>
        <w:t>Animate position and extent through shared geometry tracks.</w:t>
      </w:r>
    </w:p>
    <w:p>
      <w:pPr>
        <w:pStyle w:val="ListBullet"/>
      </w:pPr>
      <w:r>
        <w:t>Support restricted position/extent/width/height projections through the same geometry abstraction.</w:t>
      </w:r>
    </w:p>
    <w:p>
      <w:pPr>
        <w:pStyle w:val="ListBullet"/>
      </w:pPr>
      <w:r>
        <w:t>Retarget from current presentation while preserving continuity.</w:t>
      </w:r>
    </w:p>
    <w:p>
      <w:pPr>
        <w:pStyle w:val="ListBullet"/>
      </w:pPr>
      <w:r>
        <w:t>Compose Motion-owned transform channels safely with application transforms.</w:t>
      </w:r>
    </w:p>
    <w:p>
      <w:pPr>
        <w:pStyle w:val="ListBullet"/>
      </w:pPr>
      <w:r>
        <w:t>Restore/remove only Motion-owned constraints and presentation.</w:t>
      </w:r>
    </w:p>
    <w:p>
      <w:pPr>
        <w:pStyle w:val="Heading1"/>
      </w:pPr>
      <w:r>
        <w:t>10. GT integration expectations</w:t>
      </w:r>
    </w:p>
    <w:p>
      <w:pPr/>
      <w:r>
        <w:t>Motion is GT-focused and should be quietly moldable by design. Important runtime objects should be inspectable and navigable without creating a giant tooling layer up front.</w:t>
      </w:r>
    </w:p>
    <w:p>
      <w:pPr>
        <w:pStyle w:val="ListBullet"/>
      </w:pPr>
      <w:r>
        <w:t>Coordinator view: active operations, property ownership, conflicts, readiness and cleanup.</w:t>
      </w:r>
    </w:p>
    <w:p>
      <w:pPr>
        <w:pStyle w:val="ListBullet"/>
      </w:pPr>
      <w:r>
        <w:t>Operation view: state, subject, tracks, destination, policies and trace.</w:t>
      </w:r>
    </w:p>
    <w:p>
      <w:pPr>
        <w:pStyle w:val="ListBullet"/>
      </w:pPr>
      <w:r>
        <w:t>Snapshot/geometry view: coordinate space, captured bounds, validity and hierarchy context.</w:t>
      </w:r>
    </w:p>
    <w:p>
      <w:pPr>
        <w:pStyle w:val="ListBullet"/>
      </w:pPr>
      <w:r>
        <w:t>Readiness view: what is awaited, evidence and cleanup.</w:t>
      </w:r>
    </w:p>
    <w:p>
      <w:pPr>
        <w:pStyle w:val="ListBullet"/>
      </w:pPr>
      <w:r>
        <w:t>Effect view: primitive composition, parameters, examples and reduced alternative.</w:t>
      </w:r>
    </w:p>
    <w:p>
      <w:pPr>
        <w:pStyle w:val="ListBullet"/>
      </w:pPr>
      <w:r>
        <w:t>Examples return useful live Motion objects, not only rendered elements.</w:t>
      </w:r>
    </w:p>
    <w:p>
      <w:pPr>
        <w:pStyle w:val="ListBullet"/>
      </w:pPr>
      <w:r>
        <w:t>Failures carry relevant objects and explain violated invariants.</w:t>
      </w:r>
    </w:p>
    <w:p>
      <w:pPr>
        <w:pStyle w:val="Heading1"/>
      </w:pPr>
      <w:r>
        <w:t>11. Configuration Editor acceptance target</w:t>
      </w:r>
    </w:p>
    <w:p>
      <w:pPr/>
      <w:r>
        <w:t>The Configuration Editor is the first complex proving ground after isolated examples.</w:t>
      </w:r>
    </w:p>
    <w:p>
      <w:pPr>
        <w:pStyle w:val="ListBullet"/>
      </w:pPr>
      <w:r>
        <w:t>Two visual elements: drag representation under the pointer and separate drop preview in the target.</w:t>
      </w:r>
    </w:p>
    <w:p>
      <w:pPr>
        <w:pStyle w:val="ListBullet"/>
      </w:pPr>
      <w:r>
        <w:t>Closest valid nested container selected through one coherent visible-target/hit-test model.</w:t>
      </w:r>
    </w:p>
    <w:p>
      <w:pPr>
        <w:pStyle w:val="ListBullet"/>
      </w:pPr>
      <w:r>
        <w:t>Old gap closes while new gap opens; preview retargets between geometries simultaneously.</w:t>
      </w:r>
    </w:p>
    <w:p>
      <w:pPr>
        <w:pStyle w:val="ListBullet"/>
      </w:pPr>
      <w:r>
        <w:t>Container expansion, sibling displacement, gap and preview opacity may share one semantic transaction.</w:t>
      </w:r>
    </w:p>
    <w:p>
      <w:pPr>
        <w:pStyle w:val="ListBullet"/>
      </w:pPr>
      <w:r>
        <w:t>No uniform row-size assumptions and no index-based geometry heuristics.</w:t>
      </w:r>
    </w:p>
    <w:p>
      <w:pPr>
        <w:pStyle w:val="ListBullet"/>
      </w:pPr>
      <w:r>
        <w:t>Retarget starts from current preview presentation, never 0@0 or temporary overlay geometry.</w:t>
      </w:r>
    </w:p>
    <w:p>
      <w:pPr>
        <w:pStyle w:val="ListBullet"/>
      </w:pPr>
      <w:r>
        <w:t>Async Preparing content cannot define authoritative destination geometry.</w:t>
      </w:r>
    </w:p>
    <w:p>
      <w:pPr>
        <w:pStyle w:val="ListBullet"/>
      </w:pPr>
      <w:r>
        <w:t>Sidebar entry disables target/preview without leaking into editor targets.</w:t>
      </w:r>
    </w:p>
    <w:p>
      <w:pPr>
        <w:pStyle w:val="ListBullet"/>
      </w:pPr>
      <w:r>
        <w:t>Hover-open/user-open form state semantics are preserved on drop.</w:t>
      </w:r>
    </w:p>
    <w:p>
      <w:pPr>
        <w:pStyle w:val="ListBullet"/>
      </w:pPr>
      <w:r>
        <w:t>Successful adoption invalidates pending callbacks and clears all operation-owned presentation.</w:t>
      </w:r>
    </w:p>
    <w:p>
      <w:pPr>
        <w:pStyle w:val="ListBullet"/>
      </w:pPr>
      <w:r>
        <w:t>Second and later drops behave exactly like the first.</w:t>
      </w:r>
    </w:p>
    <w:p>
      <w:pPr>
        <w:pStyle w:val="Heading1"/>
      </w:pPr>
      <w:r>
        <w:t>12. Consequential choices still requiring source experiments</w:t>
      </w:r>
    </w:p>
    <w:tbl>
      <w:tblPr>
        <w:tblW w:type="auto" w:w="0"/>
        <w:jc w:val="center"/>
        <w:tblLook w:firstColumn="1" w:firstRow="1" w:lastColumn="0" w:lastRow="0" w:noHBand="0" w:noVBand="1" w:val="04A0"/>
      </w:tblPr>
      <w:tblGrid>
        <w:gridCol w:w="10166"/>
      </w:tblGrid>
      <w:tr>
        <w:tc>
          <w:tcPr>
            <w:tcW w:type="dxa" w:w="10166"/>
            <w:shd w:fill="EAF2F8"/>
          </w:tcPr>
          <w:p>
            <w:r>
              <w:rPr>
                <w:b/>
                <w:sz w:val="20"/>
              </w:rPr>
              <w:t>Transform composition</w:t>
            </w:r>
          </w:p>
          <w:p>
            <w:pPr>
              <w:spacing w:after="0"/>
            </w:pPr>
            <w:r>
              <w:t>Prefer a dedicated Motion-owned transform channel/layer if Bloc provides a safe composition seam. Full matrix decomposition/recomposition risks ownership and restoration errors. Verify against actual BlTransformation APIs before choosing.</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Pr>
          <w:p>
            <w:r>
              <w:rPr>
                <w:b/>
                <w:sz w:val="20"/>
              </w:rPr>
              <w:t>Geometry property shape</w:t>
            </w:r>
          </w:p>
          <w:p>
            <w:pPr>
              <w:spacing w:after="0"/>
            </w:pPr>
            <w:r>
              <w:t>Decide whether layout geometry is represented by one typed bounds property with component projections, or a small family of position/extent channels sharing one snapshot. The choice affects conflict ownership and retargeting.</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Pr>
          <w:p>
            <w:r>
              <w:rPr>
                <w:b/>
                <w:sz w:val="20"/>
              </w:rPr>
              <w:t>Coordinator storage</w:t>
            </w:r>
          </w:p>
          <w:p>
            <w:pPr>
              <w:spacing w:after="0"/>
            </w:pPr>
            <w:r>
              <w:t>Root userData is simple and space-local; a weak registry avoids root coupling but introduces global state. Keep the current direction unless source inspection shows root replacement hazards.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Pr>
          <w:p>
            <w:r>
              <w:rPr>
                <w:b/>
                <w:sz w:val="20"/>
              </w:rPr>
              <w:t>Operation states</w:t>
            </w:r>
          </w:p>
          <w:p>
            <w:pPr>
              <w:spacing w:after="0"/>
            </w:pPr>
            <w:r>
              <w:t>Typed singleton state objects are the likely starting point. Promote to state-specific classes only where state owns meaningful protocol.</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Pr>
          <w:p>
            <w:r>
              <w:rPr>
                <w:b/>
                <w:sz w:val="20"/>
              </w:rPr>
              <w:t>Stable layout readiness</w:t>
            </w:r>
          </w:p>
          <w:p>
            <w:pPr>
              <w:spacing w:after="0"/>
            </w:pPr>
            <w:r>
              <w:t>Likely compose explicit semantic readiness with bounded geometry stability. Do not assume one pulse means ready.</w:t>
            </w:r>
          </w:p>
        </w:tc>
      </w:tr>
    </w:tbl>
    <w:p>
      <w:pPr>
        <w:spacing w:after="0"/>
      </w:pPr>
    </w:p>
    <w:tbl>
      <w:tblPr>
        <w:tblW w:type="auto" w:w="0"/>
        <w:jc w:val="center"/>
        <w:tblLook w:firstColumn="1" w:firstRow="1" w:lastColumn="0" w:lastRow="0" w:noHBand="0" w:noVBand="1" w:val="04A0"/>
      </w:tblPr>
      <w:tblGrid>
        <w:gridCol w:w="10166"/>
      </w:tblGrid>
      <w:tr>
        <w:tc>
          <w:tcPr>
            <w:tcW w:type="dxa" w:w="10166"/>
            <w:shd w:fill="EAF2F8"/>
          </w:tcPr>
          <w:p>
            <w:r>
              <w:rPr>
                <w:b/>
                <w:sz w:val="20"/>
              </w:rPr>
              <w:t>Effect composition API</w:t>
            </w:r>
          </w:p>
          <w:p>
            <w:pPr>
              <w:spacing w:after="0"/>
            </w:pPr>
            <w:r>
              <w:t>The library concept is required, but the exact fluent composition syntax is not frozen. Preserve typed primitive composition and ready-to-use named recipes; validate syntax through executable examples.</w:t>
            </w:r>
          </w:p>
        </w:tc>
      </w:tr>
    </w:tbl>
    <w:p>
      <w:pPr>
        <w:spacing w:after="0"/>
      </w:pPr>
    </w:p>
    <w:p>
      <w:pPr>
        <w:pStyle w:val="Heading1"/>
      </w:pPr>
      <w:r>
        <w:t>13. Source/archive set for Codex</w:t>
      </w:r>
    </w:p>
    <w:p>
      <w:pPr/>
      <w:r>
        <w:t>Use the latest available versions of:</w:t>
      </w:r>
    </w:p>
    <w:p>
      <w:pPr>
        <w:pStyle w:val="ListBullet"/>
      </w:pPr>
      <w:r>
        <w:t>CatalystFoundation source archive.</w:t>
      </w:r>
    </w:p>
    <w:p>
      <w:pPr>
        <w:pStyle w:val="ListBullet"/>
      </w:pPr>
      <w:r>
        <w:t>GTUI source archive.</w:t>
      </w:r>
    </w:p>
    <w:p>
      <w:pPr>
        <w:pStyle w:val="ListBullet"/>
      </w:pPr>
      <w:r>
        <w:t>GT Motion prototype/fix archive containing the green examples.</w:t>
      </w:r>
    </w:p>
    <w:p>
      <w:pPr>
        <w:pStyle w:val="ListBullet"/>
      </w:pPr>
      <w:r>
        <w:t>GT-Motion-Technical-Specification-Base-v1.1.docx.</w:t>
      </w:r>
    </w:p>
    <w:p>
      <w:pPr>
        <w:pStyle w:val="ListBullet"/>
      </w:pPr>
      <w:r>
        <w:t>GT-Motion-Features-Usage-and-Examples-Base-v1.1.docx.</w:t>
      </w:r>
    </w:p>
    <w:p>
      <w:pPr>
        <w:pStyle w:val="ListBullet"/>
      </w:pPr>
      <w:r>
        <w:t>This handover document.</w:t>
      </w:r>
    </w:p>
    <w:p>
      <w:pPr/>
      <w:r>
        <w:t>Runtime is intentionally absent at this stage. It becomes a Motion consumer later.</w:t>
      </w:r>
    </w:p>
    <w:p>
      <w:pPr>
        <w:pStyle w:val="Heading1"/>
      </w:pPr>
      <w:r>
        <w:t>14. Suggested Codex opening instruction</w:t>
      </w:r>
    </w:p>
    <w:p>
      <w:pPr>
        <w:pStyle w:val="CodeBlock"/>
      </w:pPr>
      <w:r>
        <w:t>We are continuing GT Motion, a dedicated GT / Bloc / Brick temporal UI framework in BVC Foundation.</w:t>
        <w:br/>
        <w:br/>
        <w:t>Read the handover and the two accompanying design documents. Treat those documents as hints to the ideals and current vocabulary, not as a frozen contract. Treat the latest GTUI and Catalyst Foundation sources and executable examples as truth.</w:t>
        <w:br/>
        <w:br/>
        <w:t>Deep-read the exact Bloc Animation, BlSpace frame/pulse/layout, bounds/coordinate, geometry and transformation APIs before changing implementation. Review Brick states, wishes and aptitudes where relevant.</w:t>
        <w:br/>
        <w:br/>
        <w:t>Begin by evaluating the current green opacity prototype against the desired shared operation spine. Propose the smallest source-grounded refactor that unifies lifecycle, ownership, retargeting, cancellation, tracing and cleanup. Do not add layout or effects features until that spine is coherent and executable examples are green.</w:t>
        <w:br/>
        <w:br/>
        <w:t>Do not guess. When a consequential design choice lacks a clearly superior source-grounded answer, stop and present the options and implications.</w:t>
        <w:br/>
        <w:br/>
        <w:t>Naming must be clean and right-sized:</w:t>
        <w:br/>
        <w:t>- properties use ordinary property selectors, such as opacity:;</w:t>
        <w:br/>
        <w:t>- semantic operations use verbs;</w:t>
        <w:br/>
        <w:t>- transaction directives name the participating change without animate prefixes;</w:t>
        <w:br/>
        <w:t>- geometry is foundational, with position/extent/width/height as projections;</w:t>
        <w:br/>
        <w:t>- complex effects compose from primitives but are also exposed as discoverable ready-to-use library recipes.</w:t>
        <w:br/>
        <w:br/>
        <w:t>Build for GT first. Keep every important runtime object inspectable and navigable, but let the design demonstrate that quietly rather than turning the framework into a tooling slogan.</w:t>
      </w:r>
    </w:p>
    <w:p>
      <w:pPr>
        <w:pStyle w:val="Heading1"/>
      </w:pPr>
      <w:r>
        <w:t>15. Final reminder</w:t>
      </w:r>
    </w:p>
    <w:tbl>
      <w:tblPr>
        <w:tblW w:type="auto" w:w="0"/>
        <w:jc w:val="center"/>
        <w:tblLook w:firstColumn="1" w:firstRow="1" w:lastColumn="0" w:lastRow="0" w:noHBand="0" w:noVBand="1" w:val="04A0"/>
      </w:tblPr>
      <w:tblGrid>
        <w:gridCol w:w="10166"/>
      </w:tblGrid>
      <w:tr>
        <w:tc>
          <w:tcPr>
            <w:tcW w:type="dxa" w:w="10166"/>
            <w:shd w:fill="EAF2F8"/>
          </w:tcPr>
          <w:p>
            <w:r>
              <w:rPr>
                <w:b/>
                <w:sz w:val="20"/>
              </w:rPr>
              <w:t>The documents are a compass, not handcuffs</w:t>
            </w:r>
          </w:p>
          <w:p>
            <w:pPr>
              <w:spacing w:after="0"/>
            </w:pPr>
            <w:r>
              <w:t>Review the design continuously against real Bloc and Brick behaviour. Improve names, object boundaries and protocols when source or executable examples reveal a cleaner fit. Preserve the ideals: GT-native, typed, discoverable, composable, inspectable, no hidden ownership, no geometry guesses, and simple things genuinely simple.</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BVC Foundation Motion • Handover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GT Motion - Codex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A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F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317" w:right="173"/>
      <w:shd w:fill="F3F5F7"/>
    </w:pPr>
    <w:rPr>
      <w:rFonts w:ascii="Menlo" w:hAnsi="Menl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