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w:t>
        <w:br/>
        <w:t>Codex Handover</w:t>
      </w:r>
    </w:p>
    <w:p>
      <w:pPr>
        <w:pStyle w:val="Subtitle"/>
      </w:pPr>
      <w:r>
        <w:t>Context, decisions, implementation status and working guidance for continuing the framework</w:t>
      </w:r>
    </w:p>
    <w:tbl>
      <w:tblPr>
        <w:tblW w:type="auto" w:w="0"/>
        <w:jc w:val="center"/>
        <w:tblLook w:firstColumn="1" w:firstRow="1" w:lastColumn="0" w:lastRow="0" w:noHBand="0" w:noVBand="1" w:val="04A0"/>
      </w:tblPr>
      <w:tblGrid>
        <w:gridCol w:w="10166"/>
      </w:tblGrid>
      <w:tr>
        <w:tc>
          <w:tcPr>
            <w:tcW w:type="dxa" w:w="10166"/>
            <w:shd w:fill="EAF2F8"/>
          </w:tcPr>
          <w:p>
            <w:r>
              <w:rPr>
                <w:b/>
                <w:sz w:val="20"/>
              </w:rPr>
              <w:t>How to treat the accompanying documents</w:t>
            </w:r>
          </w:p>
          <w:p>
            <w:pPr>
              <w:spacing w:after="0"/>
            </w:pPr>
            <w:r>
              <w:t>The Technical Specification and Features, Usage and Examples documents describe the current ideals, vocabulary and intended direction. They are design hints and review aids, not a frozen contract. Treat source and executable examples as truth. Revisit the documents whenever implementation reveals a cleaner GT/Bloc/Brick-native design.</w:t>
            </w:r>
          </w:p>
        </w:tc>
      </w:tr>
    </w:tbl>
    <w:p>
      <w:pPr>
        <w:spacing w:after="0"/>
      </w:pPr>
    </w:p>
    <w:p>
      <w:r>
        <w:t>Accompanying documents:</w:t>
        <w:br/>
        <w:t>• GT-Motion-Technical-Specification-Base-v1.1.docx</w:t>
        <w:br/>
        <w:t>• GT-Motion-Features-Usage-and-Examples-Base-v1.1.docx</w:t>
      </w:r>
    </w:p>
    <w:p>
      <w:r>
        <w:br w:type="page"/>
      </w:r>
    </w:p>
    <w:p>
      <w:pPr>
        <w:pStyle w:val="Heading1"/>
      </w:pPr>
      <w:r>
        <w:t>1. Mission</w:t>
      </w:r>
    </w:p>
    <w:p>
      <w:r>
        <w:t>Build a dedicated GT / Bloc / Brick motion framework in BVC Foundation. It must make ordinary animation extremely easy while supporting coordinated layout change, geometry and shape motion, interruption, retargeting, readiness, effects, behaviours, collections, temporal values and deep GT inspection.</w:t>
      </w:r>
    </w:p>
    <w:p>
      <w:r>
        <w:t>The framework is built from the ground up for GT and is therefore moldable by design. Runtime objects should naturally expose the context needed to understand and adapt behaviour, but the framework should not bury its core purpose under tooling terminology.</w:t>
      </w:r>
    </w:p>
    <w:p>
      <w:r>
        <w:t>Do not transplant a web, mobile or game animation architecture. External frameworks are references for useful patterns only. The target substrate is BlElement, BlSpace, Bloc pulse/layout/transforms/geometry/rendering, Brick states/wishes/aptitudes, and GT examples/inspectors.</w:t>
      </w:r>
    </w:p>
    <w:p>
      <w:pPr>
        <w:pStyle w:val="Heading1"/>
      </w:pPr>
      <w:r>
        <w:t>2. Non-negotiable working discipline</w:t>
      </w:r>
    </w:p>
    <w:p>
      <w:pPr>
        <w:pStyle w:val="ListBullet"/>
      </w:pPr>
      <w:r>
        <w:t>Treat the latest GTUI and Catalyst Foundation sources as the implementation sources of truth.</w:t>
      </w:r>
    </w:p>
    <w:p>
      <w:pPr>
        <w:pStyle w:val="ListBullet"/>
      </w:pPr>
      <w:r>
        <w:t>Quote and verify exact Bloc, Brick and Foundation protocols before changing behaviour.</w:t>
      </w:r>
    </w:p>
    <w:p>
      <w:pPr>
        <w:pStyle w:val="ListBullet"/>
      </w:pPr>
      <w:r>
        <w:t>Do not invent APIs, constructors, geometry conversions or lifecycle behaviour.</w:t>
      </w:r>
    </w:p>
    <w:p>
      <w:pPr>
        <w:pStyle w:val="ListBullet"/>
      </w:pPr>
      <w:r>
        <w:t>When uncertain, stop and ask rather than writing a plausible patch.</w:t>
      </w:r>
    </w:p>
    <w:p>
      <w:pPr>
        <w:pStyle w:val="ListBullet"/>
      </w:pPr>
      <w:r>
        <w:t>Build isolated executable examples first.</w:t>
      </w:r>
    </w:p>
    <w:p>
      <w:pPr>
        <w:pStyle w:val="ListBullet"/>
      </w:pPr>
      <w:r>
        <w:t>Include retargeting from the beginning.</w:t>
      </w:r>
    </w:p>
    <w:p>
      <w:pPr>
        <w:pStyle w:val="ListBullet"/>
      </w:pPr>
      <w:r>
        <w:t>Fix root causes; do not layer guards over invalid membership, geometry or ownership.</w:t>
      </w:r>
    </w:p>
    <w:p>
      <w:pPr>
        <w:pStyle w:val="ListBullet"/>
      </w:pPr>
      <w:r>
        <w:t>Delete existing Configuration Editor animation machinery only after equivalent Motion behaviour is proven.</w:t>
      </w:r>
    </w:p>
    <w:p>
      <w:pPr>
        <w:pStyle w:val="ListBullet"/>
      </w:pPr>
      <w:r>
        <w:t>Keep packages cohesive and dependency direction clean; never create a package per concept.</w:t>
      </w:r>
    </w:p>
    <w:p>
      <w:pPr>
        <w:pStyle w:val="ListBullet"/>
      </w:pPr>
      <w:r>
        <w:t>Every terminal operation must release all claims, handlers, transforms, constraints, overlays and callbacks.</w:t>
      </w:r>
    </w:p>
    <w:p>
      <w:pPr>
        <w:pStyle w:val="Heading1"/>
      </w:pPr>
      <w:r>
        <w:t>3. Settled structural decisions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Decision</w:t>
            </w:r>
          </w:p>
        </w:tc>
        <w:tc>
          <w:tcPr>
            <w:tcW w:type="dxa" w:w="5083"/>
            <w:shd w:fill="D9E7F5"/>
          </w:tcPr>
          <w:p>
            <w:r/>
            <w:r>
              <w:rPr>
                <w:b/>
                <w:sz w:val="18"/>
              </w:rPr>
              <w:t>Current direction</w:t>
            </w:r>
          </w:p>
        </w:tc>
      </w:tr>
      <w:tr>
        <w:tc>
          <w:tcPr>
            <w:tcW w:type="dxa" w:w="5083"/>
          </w:tcPr>
          <w:p>
            <w:r/>
            <w:r>
              <w:rPr>
                <w:b/>
                <w:sz w:val="18"/>
              </w:rPr>
              <w:t>Packages</w:t>
            </w:r>
          </w:p>
        </w:tc>
        <w:tc>
          <w:tcPr>
            <w:tcW w:type="dxa" w:w="5083"/>
          </w:tcPr>
          <w:p>
            <w:r/>
            <w:r>
              <w:rPr>
                <w:b w:val="0"/>
                <w:sz w:val="18"/>
              </w:rPr>
              <w:t>BVC-Foundation-Motion-Core, BVC-Foundation-Motion-Effects, BVC-Foundation-Motion-Examples.</w:t>
            </w:r>
          </w:p>
        </w:tc>
      </w:tr>
      <w:tr>
        <w:tc>
          <w:tcPr>
            <w:tcW w:type="dxa" w:w="5083"/>
          </w:tcPr>
          <w:p>
            <w:r/>
            <w:r>
              <w:rPr>
                <w:b/>
                <w:sz w:val="18"/>
              </w:rPr>
              <w:t>Class prefix</w:t>
            </w:r>
          </w:p>
        </w:tc>
        <w:tc>
          <w:tcPr>
            <w:tcW w:type="dxa" w:w="5083"/>
          </w:tcPr>
          <w:p>
            <w:r/>
            <w:r>
              <w:rPr>
                <w:b w:val="0"/>
                <w:sz w:val="18"/>
              </w:rPr>
              <w:t>CF. Keep Motion in Foundation for now.</w:t>
            </w:r>
          </w:p>
        </w:tc>
      </w:tr>
      <w:tr>
        <w:tc>
          <w:tcPr>
            <w:tcW w:type="dxa" w:w="5083"/>
          </w:tcPr>
          <w:p>
            <w:r/>
            <w:r>
              <w:rPr>
                <w:b/>
                <w:sz w:val="18"/>
              </w:rPr>
              <w:t>Package boundaries</w:t>
            </w:r>
          </w:p>
        </w:tc>
        <w:tc>
          <w:tcPr>
            <w:tcW w:type="dxa" w:w="5083"/>
          </w:tcPr>
          <w:p>
            <w:r/>
            <w:r>
              <w:rPr>
                <w:b w:val="0"/>
                <w:sz w:val="18"/>
              </w:rPr>
              <w:t>No Motion-Bloc or Motion-Brick packages. Bloc and Brick are substrate, not logical package groups.</w:t>
            </w:r>
          </w:p>
        </w:tc>
      </w:tr>
      <w:tr>
        <w:tc>
          <w:tcPr>
            <w:tcW w:type="dxa" w:w="5083"/>
          </w:tcPr>
          <w:p>
            <w:r/>
            <w:r>
              <w:rPr>
                <w:b/>
                <w:sz w:val="18"/>
              </w:rPr>
              <w:t>Coordinator</w:t>
            </w:r>
          </w:p>
        </w:tc>
        <w:tc>
          <w:tcPr>
            <w:tcW w:type="dxa" w:w="5083"/>
          </w:tcPr>
          <w:p>
            <w:r/>
            <w:r>
              <w:rPr>
                <w:b w:val="0"/>
                <w:sz w:val="18"/>
              </w:rPr>
              <w:t>One coordinator per BlSpace.</w:t>
            </w:r>
          </w:p>
        </w:tc>
      </w:tr>
      <w:tr>
        <w:tc>
          <w:tcPr>
            <w:tcW w:type="dxa" w:w="5083"/>
          </w:tcPr>
          <w:p>
            <w:r/>
            <w:r>
              <w:rPr>
                <w:b/>
                <w:sz w:val="18"/>
              </w:rPr>
              <w:t>Runtime</w:t>
            </w:r>
          </w:p>
        </w:tc>
        <w:tc>
          <w:tcPr>
            <w:tcW w:type="dxa" w:w="5083"/>
          </w:tcPr>
          <w:p>
            <w:r/>
            <w:r>
              <w:rPr>
                <w:b w:val="0"/>
                <w:sz w:val="18"/>
              </w:rPr>
              <w:t>Catalyst Runtime is a future consumer, not a current contributor or dependency.</w:t>
            </w:r>
          </w:p>
        </w:tc>
      </w:tr>
      <w:tr>
        <w:tc>
          <w:tcPr>
            <w:tcW w:type="dxa" w:w="5083"/>
          </w:tcPr>
          <w:p>
            <w:r/>
            <w:r>
              <w:rPr>
                <w:b/>
                <w:sz w:val="18"/>
              </w:rPr>
              <w:t>Examples</w:t>
            </w:r>
          </w:p>
        </w:tc>
        <w:tc>
          <w:tcPr>
            <w:tcW w:type="dxa" w:w="5083"/>
          </w:tcPr>
          <w:p>
            <w:r/>
            <w:r>
              <w:rPr>
                <w:b w:val="0"/>
                <w:sz w:val="18"/>
              </w:rPr>
              <w:t>Build isolated executable examples before integrating the Configuration Editor.</w:t>
            </w:r>
          </w:p>
        </w:tc>
      </w:tr>
      <w:tr>
        <w:tc>
          <w:tcPr>
            <w:tcW w:type="dxa" w:w="5083"/>
          </w:tcPr>
          <w:p>
            <w:r/>
            <w:r>
              <w:rPr>
                <w:b/>
                <w:sz w:val="18"/>
              </w:rPr>
              <w:t>Retargeting</w:t>
            </w:r>
          </w:p>
        </w:tc>
        <w:tc>
          <w:tcPr>
            <w:tcW w:type="dxa" w:w="5083"/>
          </w:tcPr>
          <w:p>
            <w:r/>
            <w:r>
              <w:rPr>
                <w:b w:val="0"/>
                <w:sz w:val="18"/>
              </w:rPr>
              <w:t>Must be supported immediately and must start from current presentation.</w:t>
            </w:r>
          </w:p>
        </w:tc>
      </w:tr>
      <w:tr>
        <w:tc>
          <w:tcPr>
            <w:tcW w:type="dxa" w:w="5083"/>
          </w:tcPr>
          <w:p>
            <w:r/>
            <w:r>
              <w:rPr>
                <w:b/>
                <w:sz w:val="18"/>
              </w:rPr>
              <w:t>Editor migration</w:t>
            </w:r>
          </w:p>
        </w:tc>
        <w:tc>
          <w:tcPr>
            <w:tcW w:type="dxa" w:w="5083"/>
          </w:tcPr>
          <w:p>
            <w:r/>
            <w:r>
              <w:rPr>
                <w:b w:val="0"/>
                <w:sz w:val="18"/>
              </w:rPr>
              <w:t>Delete replaced editor-specific animation machinery once Motion reaches equivalent behaviour.</w:t>
            </w:r>
          </w:p>
        </w:tc>
      </w:tr>
    </w:tbl>
    <w:p>
      <w:pPr>
        <w:pStyle w:val="Heading1"/>
      </w:pPr>
      <w:r>
        <w:t>4. Naming and API principles</w:t>
      </w:r>
    </w:p>
    <w:p>
      <w:r>
        <w:t>Naming must cleanly state intent, remain at the correct abstraction level and avoid repeating the framework context.</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Principle</w:t>
            </w:r>
          </w:p>
        </w:tc>
        <w:tc>
          <w:tcPr>
            <w:tcW w:type="dxa" w:w="5083"/>
            <w:shd w:fill="D9E7F5"/>
          </w:tcPr>
          <w:p>
            <w:r/>
            <w:r>
              <w:rPr>
                <w:b/>
                <w:sz w:val="18"/>
              </w:rPr>
              <w:t>Example / implication</w:t>
            </w:r>
          </w:p>
        </w:tc>
      </w:tr>
      <w:tr>
        <w:tc>
          <w:tcPr>
            <w:tcW w:type="dxa" w:w="5083"/>
          </w:tcPr>
          <w:p>
            <w:r/>
            <w:r>
              <w:rPr>
                <w:b/>
                <w:sz w:val="18"/>
              </w:rPr>
              <w:t>Properties use ordinary property vocabulary</w:t>
            </w:r>
          </w:p>
        </w:tc>
        <w:tc>
          <w:tcPr>
            <w:tcW w:type="dxa" w:w="5083"/>
          </w:tcPr>
          <w:p>
            <w:r/>
            <w:r>
              <w:rPr>
                <w:b w:val="0"/>
                <w:sz w:val="18"/>
              </w:rPr>
              <w:t>element motion opacity: 0.8. No opacityTo:, animateOpacity: or magic property symbols.</w:t>
            </w:r>
          </w:p>
        </w:tc>
      </w:tr>
      <w:tr>
        <w:tc>
          <w:tcPr>
            <w:tcW w:type="dxa" w:w="5083"/>
          </w:tcPr>
          <w:p>
            <w:r/>
            <w:r>
              <w:rPr>
                <w:b/>
                <w:sz w:val="18"/>
              </w:rPr>
              <w:t>Semantic operations use verbs</w:t>
            </w:r>
          </w:p>
        </w:tc>
        <w:tc>
          <w:tcPr>
            <w:tcW w:type="dxa" w:w="5083"/>
          </w:tcPr>
          <w:p>
            <w:r/>
            <w:r>
              <w:rPr>
                <w:b w:val="0"/>
                <w:sz w:val="18"/>
              </w:rPr>
              <w:t>appear, disappear, expand, collapse, dismiss, return, reorder.</w:t>
            </w:r>
          </w:p>
        </w:tc>
      </w:tr>
      <w:tr>
        <w:tc>
          <w:tcPr>
            <w:tcW w:type="dxa" w:w="5083"/>
          </w:tcPr>
          <w:p>
            <w:r/>
            <w:r>
              <w:rPr>
                <w:b/>
                <w:sz w:val="18"/>
              </w:rPr>
              <w:t>Transaction directives name participating change</w:t>
            </w:r>
          </w:p>
        </w:tc>
        <w:tc>
          <w:tcPr>
            <w:tcW w:type="dxa" w:w="5083"/>
          </w:tcPr>
          <w:p>
            <w:r/>
            <w:r>
              <w:rPr>
                <w:b w:val="0"/>
                <w:sz w:val="18"/>
              </w:rPr>
              <w:t>geometryOf:, resize:, insert:into:at:, remove:, adopt:as:. Do not prefix with animate.</w:t>
            </w:r>
          </w:p>
        </w:tc>
      </w:tr>
      <w:tr>
        <w:tc>
          <w:tcPr>
            <w:tcW w:type="dxa" w:w="5083"/>
          </w:tcPr>
          <w:p>
            <w:r/>
            <w:r>
              <w:rPr>
                <w:b/>
                <w:sz w:val="18"/>
              </w:rPr>
              <w:t>Execution is explicit only when assembly is deferred</w:t>
            </w:r>
          </w:p>
        </w:tc>
        <w:tc>
          <w:tcPr>
            <w:tcW w:type="dxa" w:w="5083"/>
          </w:tcPr>
          <w:p>
            <w:r/>
            <w:r>
              <w:rPr>
                <w:b w:val="0"/>
                <w:sz w:val="18"/>
              </w:rPr>
              <w:t>A multi-message transaction ends with play. A simple property convenience may start immediately.</w:t>
            </w:r>
          </w:p>
        </w:tc>
      </w:tr>
      <w:tr>
        <w:tc>
          <w:tcPr>
            <w:tcW w:type="dxa" w:w="5083"/>
          </w:tcPr>
          <w:p>
            <w:r/>
            <w:r>
              <w:rPr>
                <w:b/>
                <w:sz w:val="18"/>
              </w:rPr>
              <w:t>Opposites are symmetrical</w:t>
            </w:r>
          </w:p>
        </w:tc>
        <w:tc>
          <w:tcPr>
            <w:tcW w:type="dxa" w:w="5083"/>
          </w:tcPr>
          <w:p>
            <w:r/>
            <w:r>
              <w:rPr>
                <w:b w:val="0"/>
                <w:sz w:val="18"/>
              </w:rPr>
              <w:t>fadeIn/fadeOut, scaleAndFadeIn/scaleAndFadeOut, riseAndFadeIn/fallAndFadeOut.</w:t>
            </w:r>
          </w:p>
        </w:tc>
      </w:tr>
      <w:tr>
        <w:tc>
          <w:tcPr>
            <w:tcW w:type="dxa" w:w="5083"/>
          </w:tcPr>
          <w:p>
            <w:r/>
            <w:r>
              <w:rPr>
                <w:b/>
                <w:sz w:val="18"/>
              </w:rPr>
              <w:t>Names describe observable treatment</w:t>
            </w:r>
          </w:p>
        </w:tc>
        <w:tc>
          <w:tcPr>
            <w:tcW w:type="dxa" w:w="5083"/>
          </w:tcPr>
          <w:p>
            <w:r/>
            <w:r>
              <w:rPr>
                <w:b w:val="0"/>
                <w:sz w:val="18"/>
              </w:rPr>
              <w:t>Avoid dramatic names such as beautifulReveal or magicLift.</w:t>
            </w:r>
          </w:p>
        </w:tc>
      </w:tr>
      <w:tr>
        <w:tc>
          <w:tcPr>
            <w:tcW w:type="dxa" w:w="5083"/>
          </w:tcPr>
          <w:p>
            <w:r/>
            <w:r>
              <w:rPr>
                <w:b/>
                <w:sz w:val="18"/>
              </w:rPr>
              <w:t>Complex library effects are first-class</w:t>
            </w:r>
          </w:p>
        </w:tc>
        <w:tc>
          <w:tcPr>
            <w:tcW w:type="dxa" w:w="5083"/>
          </w:tcPr>
          <w:p>
            <w:r/>
            <w:r>
              <w:rPr>
                <w:b w:val="0"/>
                <w:sz w:val="18"/>
              </w:rPr>
              <w:t>Ready-to-use composed effects must be easy to discover and inspect, while being built from smaller typed primitives.</w:t>
            </w:r>
          </w:p>
        </w:tc>
      </w:tr>
    </w:tbl>
    <w:p>
      <w:pPr>
        <w:pStyle w:val="Heading2"/>
      </w:pPr>
      <w:r>
        <w:t>4.1 Effect library levels</w:t>
      </w:r>
    </w:p>
    <w:p>
      <w:r>
        <w:t>Primitive effects are focused composition units:</w:t>
      </w:r>
    </w:p>
    <w:p>
      <w:pPr>
        <w:pStyle w:val="CodeBlock"/>
      </w:pPr>
      <w:r>
        <w:t>CFMotionEffects fade.</w:t>
        <w:br/>
        <w:t>CFMotionEffects translate.</w:t>
        <w:br/>
        <w:t>CFMotionEffects scale.</w:t>
        <w:br/>
        <w:t>CFMotionEffects blur.</w:t>
        <w:br/>
        <w:t>CFMotionEffects followPath.</w:t>
      </w:r>
    </w:p>
    <w:p>
      <w:r>
        <w:t>Composed library effects are complete, named recipes:</w:t>
      </w:r>
    </w:p>
    <w:p>
      <w:pPr>
        <w:pStyle w:val="CodeBlock"/>
      </w:pPr>
      <w:r>
        <w:t>CFMotionEffects riseAndFadeIn.</w:t>
        <w:br/>
        <w:t>CFMotionEffects fallAndFadeOut.</w:t>
        <w:br/>
        <w:t>CFMotionEffects scaleAndFadeIn.</w:t>
        <w:br/>
        <w:t>CFMotionEffects scaleAndFadeOut.</w:t>
        <w:br/>
        <w:t>CFMotionEffects flingOut.</w:t>
        <w:br/>
        <w:t>CFMotionEffects springBack.</w:t>
      </w:r>
    </w:p>
    <w:p>
      <w:r>
        <w:t>The semantic operation owns appearance/disappearance, visibility, insertion/removal and completion. The effect defines the presentation recipe.</w:t>
      </w:r>
    </w:p>
    <w:p>
      <w:pPr>
        <w:pStyle w:val="Heading1"/>
      </w:pPr>
      <w:r>
        <w:t>5. Geometry is foundational</w:t>
      </w:r>
    </w:p>
    <w:p>
      <w:r>
        <w:t>Geometry motion must be a first-class concept. Height and width are not unrelated special animations; they are constrained views of layout geometry.</w:t>
      </w:r>
    </w:p>
    <w:p>
      <w:pPr>
        <w:pStyle w:val="Heading2"/>
      </w:pPr>
      <w:r>
        <w:t>5.1 Layout geometry</w:t>
      </w:r>
    </w:p>
    <w:p>
      <w:r>
        <w:t>Layout geometry includes position and extent in one declared coordinate space. Bloc remains authoritative. Motion captures pre-mutation geometry and Bloc-computed post-layout geometry, then presents the transition.</w:t>
      </w:r>
    </w:p>
    <w:p>
      <w:pPr>
        <w:pStyle w:val="CodeBlock"/>
      </w:pPr>
      <w:r>
        <w:t>element motion geometry: destinationBounds.</w:t>
        <w:br/>
        <w:br/>
        <w:t>container motion</w:t>
        <w:br/>
        <w:t xml:space="preserve">    layout;</w:t>
        <w:br/>
        <w:t xml:space="preserve">    affecting: affectedElements;</w:t>
        <w:br/>
        <w:t xml:space="preserve">    mutate: [ panel beExpanded ];</w:t>
        <w:br/>
        <w:t xml:space="preserve">    geometryOf: panel;</w:t>
        <w:br/>
        <w:t xml:space="preserve">    play.</w:t>
      </w:r>
    </w:p>
    <w:p>
      <w:r>
        <w:t>Focused projections may include:</w:t>
      </w:r>
    </w:p>
    <w:p>
      <w:pPr>
        <w:pStyle w:val="CodeBlock"/>
      </w:pPr>
      <w:r>
        <w:t>transaction positionOf: panel.</w:t>
        <w:br/>
        <w:t>transaction extentOf: panel.</w:t>
        <w:br/>
        <w:t>transaction widthOf: panel.</w:t>
        <w:br/>
        <w:t>transaction heightOf: panel.</w:t>
      </w:r>
    </w:p>
    <w:p>
      <w:r>
        <w:t>These should all use the same geometry machinery and merely select components. Motion never invents or hard-codes destination dimensions.</w:t>
      </w:r>
    </w:p>
    <w:p>
      <w:pPr>
        <w:pStyle w:val="Heading2"/>
      </w:pPr>
      <w:r>
        <w:t>5.2 Shape geometry</w:t>
      </w:r>
    </w:p>
    <w:p>
      <w:r>
        <w:t>Rendered shape is related but distinct from layout bounds. Motion must support interpolation of compatible Bloc geometry or shape types without creating a competing geometry model.</w:t>
      </w:r>
    </w:p>
    <w:p>
      <w:pPr>
        <w:pStyle w:val="CodeBlock"/>
      </w:pPr>
      <w:r>
        <w:t>element motion shape: destinationShape.</w:t>
      </w:r>
    </w:p>
    <w:p>
      <w:r>
        <w:t>Rectangle-to-rounded-rectangle, compatible path morphing and other shape transitions require typed adapters/interpolators. Unsupported pairs should fail clearly rather than performing magical conversion.</w:t>
      </w:r>
    </w:p>
    <w:p>
      <w:pPr>
        <w:pStyle w:val="Heading1"/>
      </w:pPr>
      <w:r>
        <w:t>6. Current implementation status</w:t>
      </w:r>
    </w:p>
    <w:p>
      <w:r>
        <w:t>An initial Phase 1 prototype was created in the three Motion packages. The examples are currently green after two fixes.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Area</w:t>
            </w:r>
          </w:p>
        </w:tc>
        <w:tc>
          <w:tcPr>
            <w:tcW w:type="dxa" w:w="5083"/>
            <w:shd w:fill="D9E7F5"/>
          </w:tcPr>
          <w:p>
            <w:r/>
            <w:r>
              <w:rPr>
                <w:b/>
                <w:sz w:val="18"/>
              </w:rPr>
              <w:t>State</w:t>
            </w:r>
          </w:p>
        </w:tc>
      </w:tr>
      <w:tr>
        <w:tc>
          <w:tcPr>
            <w:tcW w:type="dxa" w:w="5083"/>
          </w:tcPr>
          <w:p>
            <w:r/>
            <w:r>
              <w:rPr>
                <w:b/>
                <w:sz w:val="18"/>
              </w:rPr>
              <w:t>CFMotion / CFMotionBuilder</w:t>
            </w:r>
          </w:p>
        </w:tc>
        <w:tc>
          <w:tcPr>
            <w:tcW w:type="dxa" w:w="5083"/>
          </w:tcPr>
          <w:p>
            <w:r/>
            <w:r>
              <w:rPr>
                <w:b w:val="0"/>
                <w:sz w:val="18"/>
              </w:rPr>
              <w:t>Entry and basic builder prototype.</w:t>
            </w:r>
          </w:p>
        </w:tc>
      </w:tr>
      <w:tr>
        <w:tc>
          <w:tcPr>
            <w:tcW w:type="dxa" w:w="5083"/>
          </w:tcPr>
          <w:p>
            <w:r/>
            <w:r>
              <w:rPr>
                <w:b/>
                <w:sz w:val="18"/>
              </w:rPr>
              <w:t>CFMotionCoordinator</w:t>
            </w:r>
          </w:p>
        </w:tc>
        <w:tc>
          <w:tcPr>
            <w:tcW w:type="dxa" w:w="5083"/>
          </w:tcPr>
          <w:p>
            <w:r/>
            <w:r>
              <w:rPr>
                <w:b w:val="0"/>
                <w:sz w:val="18"/>
              </w:rPr>
              <w:t>Per-space ownership prototype using the space/root relationship.</w:t>
            </w:r>
          </w:p>
        </w:tc>
      </w:tr>
      <w:tr>
        <w:tc>
          <w:tcPr>
            <w:tcW w:type="dxa" w:w="5083"/>
          </w:tcPr>
          <w:p>
            <w:r/>
            <w:r>
              <w:rPr>
                <w:b/>
                <w:sz w:val="18"/>
              </w:rPr>
              <w:t>CFMotionProperty / CFOpacityMotionProperty</w:t>
            </w:r>
          </w:p>
        </w:tc>
        <w:tc>
          <w:tcPr>
            <w:tcW w:type="dxa" w:w="5083"/>
          </w:tcPr>
          <w:p>
            <w:r/>
            <w:r>
              <w:rPr>
                <w:b w:val="0"/>
                <w:sz w:val="18"/>
              </w:rPr>
              <w:t>Typed opacity property prototype.</w:t>
            </w:r>
          </w:p>
        </w:tc>
      </w:tr>
      <w:tr>
        <w:tc>
          <w:tcPr>
            <w:tcW w:type="dxa" w:w="5083"/>
          </w:tcPr>
          <w:p>
            <w:r/>
            <w:r>
              <w:rPr>
                <w:b/>
                <w:sz w:val="18"/>
              </w:rPr>
              <w:t>CFMotionPropertyOperation</w:t>
            </w:r>
          </w:p>
        </w:tc>
        <w:tc>
          <w:tcPr>
            <w:tcW w:type="dxa" w:w="5083"/>
          </w:tcPr>
          <w:p>
            <w:r/>
            <w:r>
              <w:rPr>
                <w:b w:val="0"/>
                <w:sz w:val="18"/>
              </w:rPr>
              <w:t>Opacity execution and retargeting prototype.</w:t>
            </w:r>
          </w:p>
        </w:tc>
      </w:tr>
      <w:tr>
        <w:tc>
          <w:tcPr>
            <w:tcW w:type="dxa" w:w="5083"/>
          </w:tcPr>
          <w:p>
            <w:r/>
            <w:r>
              <w:rPr>
                <w:b/>
                <w:sz w:val="18"/>
              </w:rPr>
              <w:t>CFMotionPropertyKey</w:t>
            </w:r>
          </w:p>
        </w:tc>
        <w:tc>
          <w:tcPr>
            <w:tcW w:type="dxa" w:w="5083"/>
          </w:tcPr>
          <w:p>
            <w:r/>
            <w:r>
              <w:rPr>
                <w:b w:val="0"/>
                <w:sz w:val="18"/>
              </w:rPr>
              <w:t>Subject/property identity with fixed accessors.</w:t>
            </w:r>
          </w:p>
        </w:tc>
      </w:tr>
      <w:tr>
        <w:tc>
          <w:tcPr>
            <w:tcW w:type="dxa" w:w="5083"/>
          </w:tcPr>
          <w:p>
            <w:r/>
            <w:r>
              <w:rPr>
                <w:b/>
                <w:sz w:val="18"/>
              </w:rPr>
              <w:t>CFMotionSnapshot / CFMotionLayoutTransaction</w:t>
            </w:r>
          </w:p>
        </w:tc>
        <w:tc>
          <w:tcPr>
            <w:tcW w:type="dxa" w:w="5083"/>
          </w:tcPr>
          <w:p>
            <w:r/>
            <w:r>
              <w:rPr>
                <w:b w:val="0"/>
                <w:sz w:val="18"/>
              </w:rPr>
              <w:t>Early layout prototype exists but should not be treated as the final architecture.</w:t>
            </w:r>
          </w:p>
        </w:tc>
      </w:tr>
      <w:tr>
        <w:tc>
          <w:tcPr>
            <w:tcW w:type="dxa" w:w="5083"/>
          </w:tcPr>
          <w:p>
            <w:r/>
            <w:r>
              <w:rPr>
                <w:b/>
                <w:sz w:val="18"/>
              </w:rPr>
              <w:t>Effects package</w:t>
            </w:r>
          </w:p>
        </w:tc>
        <w:tc>
          <w:tcPr>
            <w:tcW w:type="dxa" w:w="5083"/>
          </w:tcPr>
          <w:p>
            <w:r/>
            <w:r>
              <w:rPr>
                <w:b w:val="0"/>
                <w:sz w:val="18"/>
              </w:rPr>
              <w:t>Simple fade effect establishes dependency direction only.</w:t>
            </w:r>
          </w:p>
        </w:tc>
      </w:tr>
      <w:tr>
        <w:tc>
          <w:tcPr>
            <w:tcW w:type="dxa" w:w="5083"/>
          </w:tcPr>
          <w:p>
            <w:r/>
            <w:r>
              <w:rPr>
                <w:b/>
                <w:sz w:val="18"/>
              </w:rPr>
              <w:t>Examples</w:t>
            </w:r>
          </w:p>
        </w:tc>
        <w:tc>
          <w:tcPr>
            <w:tcW w:type="dxa" w:w="5083"/>
          </w:tcPr>
          <w:p>
            <w:r/>
            <w:r>
              <w:rPr>
                <w:b w:val="0"/>
                <w:sz w:val="18"/>
              </w:rPr>
              <w:t>Opacity motion, opacity retargeting, fade effect and layout transaction examples; reported green.</w:t>
            </w:r>
          </w:p>
        </w:tc>
      </w:tr>
      <w:tr>
        <w:tc>
          <w:tcPr>
            <w:tcW w:type="dxa" w:w="5083"/>
          </w:tcPr>
          <w:p>
            <w:r/>
            <w:r>
              <w:rPr>
                <w:b/>
                <w:sz w:val="18"/>
              </w:rPr>
              <w:t>Metacello baseline</w:t>
            </w:r>
          </w:p>
        </w:tc>
        <w:tc>
          <w:tcPr>
            <w:tcW w:type="dxa" w:w="5083"/>
          </w:tcPr>
          <w:p>
            <w:r/>
            <w:r>
              <w:rPr>
                <w:b w:val="0"/>
                <w:sz w:val="18"/>
              </w:rPr>
              <w:t>Motion packages added with Core &lt;- Effects &lt;- Examples dependency direction and included in the Pharo UI group.</w:t>
            </w:r>
          </w:p>
        </w:tc>
      </w:tr>
    </w:tbl>
    <w:p>
      <w:pPr>
        <w:pStyle w:val="Heading2"/>
      </w:pPr>
      <w:r>
        <w:t>6.1 Defects already found and fixed</w:t>
      </w:r>
    </w:p>
    <w:p>
      <w:pPr>
        <w:pStyle w:val="ListBullet"/>
      </w:pPr>
      <w:r>
        <w:t>Bounds conversion originally passed a coordinate wrapper where mutable BlBounds was expected. This was corrected using source-grounded Bloc bounds conversion.</w:t>
      </w:r>
    </w:p>
    <w:p>
      <w:pPr>
        <w:pStyle w:val="ListBullet"/>
      </w:pPr>
      <w:r>
        <w:t>CFMotionPropertyKey equality required missing element/property accessors. They were added.</w:t>
      </w:r>
    </w:p>
    <w:p>
      <w:pPr>
        <w:pStyle w:val="ListBullet"/>
      </w:pPr>
      <w:r>
        <w:t>CFMotionBuilder&gt;&gt;opacityTo: originally discarded the existing retargeted operation because a trailing yourself returned the unused new operation. The return path was fixed.</w:t>
      </w:r>
    </w:p>
    <w:p>
      <w:r>
        <w:t>The naming in the prototype predates the current API direction. For example opacityTo: should be revisited rather than preserved for compatibility.</w:t>
      </w:r>
    </w:p>
    <w:p>
      <w:pPr>
        <w:pStyle w:val="Heading1"/>
      </w:pPr>
      <w:r>
        <w:t>7. Architectural correction before adding features</w:t>
      </w:r>
    </w:p>
    <w:tbl>
      <w:tblPr>
        <w:tblW w:type="auto" w:w="0"/>
        <w:jc w:val="center"/>
        <w:tblLook w:firstColumn="1" w:firstRow="1" w:lastColumn="0" w:lastRow="0" w:noHBand="0" w:noVBand="1" w:val="04A0"/>
      </w:tblPr>
      <w:tblGrid>
        <w:gridCol w:w="10166"/>
      </w:tblGrid>
      <w:tr>
        <w:tc>
          <w:tcPr>
            <w:tcW w:type="dxa" w:w="10166"/>
            <w:shd w:fill="FCE4D6"/>
          </w:tcPr>
          <w:p>
            <w:r>
              <w:rPr>
                <w:b/>
                <w:sz w:val="20"/>
              </w:rPr>
              <w:t>Do not extend the two separate mini-engines</w:t>
            </w:r>
          </w:p>
          <w:p>
            <w:pPr>
              <w:spacing w:after="0"/>
            </w:pPr>
            <w:r>
              <w:t>The current property operation and layout transaction should not grow independently. Before serious layout, geometry or effects work, establish one shared operation spine for lifecycle, ownership, retargeting, cancellation, tracing and cleanup.</w:t>
            </w:r>
          </w:p>
        </w:tc>
      </w:tr>
    </w:tbl>
    <w:p>
      <w:pPr>
        <w:spacing w:after="0"/>
      </w:pPr>
    </w:p>
    <w:p>
      <w:r>
        <w:t>The likely smallest coherent shared model is:</w:t>
      </w:r>
    </w:p>
    <w:p>
      <w:pPr>
        <w:pStyle w:val="CodeBlock"/>
      </w:pPr>
      <w:r>
        <w:t>CFMotionOperation</w:t>
        <w:br/>
        <w:t>CFMotionOperationState</w:t>
        <w:br/>
        <w:t>CFMotionCoordinator</w:t>
        <w:br/>
        <w:t>CFMotionTrack</w:t>
        <w:br/>
        <w:t>CFMotionPropertyTrack</w:t>
        <w:br/>
        <w:t>CFMotionProperty</w:t>
        <w:br/>
        <w:t>CFMotionPropertyKey</w:t>
        <w:br/>
        <w:t>CFMotionTrace</w:t>
        <w:br/>
        <w:t>CFMotionTraceEntry</w:t>
      </w:r>
    </w:p>
    <w:p>
      <w:r>
        <w:t>CFMotionPropertyOperation should become a thin specialization or disappear into a configured CFMotionOperation. Layout operations should consume the same spine rather than implementing their own generations, cancellation and callbacks.</w:t>
      </w:r>
    </w:p>
    <w:p>
      <w:pPr>
        <w:pStyle w:val="Heading1"/>
      </w:pPr>
      <w:r>
        <w:t>8. Recommended next implementation step</w:t>
      </w:r>
    </w:p>
    <w:p>
      <w:r>
        <w:t>Refactor the green opacity prototype into the shared inspectable operation/track lifecycle before implementing geometry or replacing editor machinery.</w:t>
      </w:r>
    </w:p>
    <w:p>
      <w:pPr>
        <w:pStyle w:val="Heading2"/>
      </w:pPr>
      <w:r>
        <w:t>8.1 Minimum vertical slice</w:t>
      </w:r>
    </w:p>
    <w:p>
      <w:pPr>
        <w:pStyle w:val="ListBullet"/>
      </w:pPr>
      <w:r>
        <w:t>One CFMotionOperation lifecycle shared by all future motion.</w:t>
      </w:r>
    </w:p>
    <w:p>
      <w:pPr>
        <w:pStyle w:val="ListBullet"/>
      </w:pPr>
      <w:r>
        <w:t>Typed opacity property track.</w:t>
      </w:r>
    </w:p>
    <w:p>
      <w:pPr>
        <w:pStyle w:val="ListBullet"/>
      </w:pPr>
      <w:r>
        <w:t>One owner per subject/property within the BlSpace coordinator.</w:t>
      </w:r>
    </w:p>
    <w:p>
      <w:pPr>
        <w:pStyle w:val="ListBullet"/>
      </w:pPr>
      <w:r>
        <w:t>Retarget from current presented opacity.</w:t>
      </w:r>
    </w:p>
    <w:p>
      <w:pPr>
        <w:pStyle w:val="ListBullet"/>
      </w:pPr>
      <w:r>
        <w:t>Replacement and cancellation policies.</w:t>
      </w:r>
    </w:p>
    <w:p>
      <w:pPr>
        <w:pStyle w:val="ListBullet"/>
      </w:pPr>
      <w:r>
        <w:t>Generation or operation identity guarding obsolete Bloc completion callbacks.</w:t>
      </w:r>
    </w:p>
    <w:p>
      <w:pPr>
        <w:pStyle w:val="ListBullet"/>
      </w:pPr>
      <w:r>
        <w:t>Structured trace/state sufficient for GT inspection.</w:t>
      </w:r>
    </w:p>
    <w:p>
      <w:pPr>
        <w:pStyle w:val="ListBullet"/>
      </w:pPr>
      <w:r>
        <w:t>Complete cleanup and ownership release.</w:t>
      </w:r>
    </w:p>
    <w:p>
      <w:pPr>
        <w:pStyle w:val="Heading2"/>
      </w:pPr>
      <w:r>
        <w:t>8.2 Executable examples to make green</w:t>
      </w:r>
    </w:p>
    <w:p>
      <w:pPr>
        <w:pStyle w:val="CodeBlock"/>
      </w:pPr>
      <w:r>
        <w:t>opacityCompletes</w:t>
        <w:br/>
        <w:t>opacityRetargetsFromCurrentPresentation</w:t>
        <w:br/>
        <w:t>opacityReplacementKeepsOneOwner</w:t>
        <w:br/>
        <w:t>opacityCancellationPreservesCurrentPresentation</w:t>
        <w:br/>
        <w:t>opacityCleanupReleasesOwnership</w:t>
        <w:br/>
        <w:t>opacityOperationIsInspectable</w:t>
      </w:r>
    </w:p>
    <w:p>
      <w:r>
        <w:t>Only after these are green should layout geometry be rebuilt on the shared spine.</w:t>
      </w:r>
    </w:p>
    <w:p>
      <w:pPr>
        <w:pStyle w:val="Heading1"/>
      </w:pPr>
      <w:r>
        <w:t>9. Next geometry/layout phase</w:t>
      </w:r>
    </w:p>
    <w:p>
      <w:r>
        <w:t>The next phase should introduce a layout/geometry operation using explicit participants, one coordinate space and typed readiness.</w:t>
      </w:r>
    </w:p>
    <w:p>
      <w:pPr>
        <w:pStyle w:val="ListBullet"/>
      </w:pPr>
      <w:r>
        <w:t>Capture current presentation for declared participants before mutation.</w:t>
      </w:r>
    </w:p>
    <w:p>
      <w:pPr>
        <w:pStyle w:val="ListBullet"/>
      </w:pPr>
      <w:r>
        <w:t>Apply authoritative mutation exactly once.</w:t>
      </w:r>
    </w:p>
    <w:p>
      <w:pPr>
        <w:pStyle w:val="ListBullet"/>
      </w:pPr>
      <w:r>
        <w:t>Wait through a real readiness strategy, not a single postpone: call.</w:t>
      </w:r>
    </w:p>
    <w:p>
      <w:pPr>
        <w:pStyle w:val="ListBullet"/>
      </w:pPr>
      <w:r>
        <w:t>Let Bloc perform layout and capture resulting geometry.</w:t>
      </w:r>
    </w:p>
    <w:p>
      <w:pPr>
        <w:pStyle w:val="ListBullet"/>
      </w:pPr>
      <w:r>
        <w:t>Animate position and extent through shared geometry tracks.</w:t>
      </w:r>
    </w:p>
    <w:p>
      <w:pPr>
        <w:pStyle w:val="ListBullet"/>
      </w:pPr>
      <w:r>
        <w:t>Support restricted position/extent/width/height projections through the same geometry abstraction.</w:t>
      </w:r>
    </w:p>
    <w:p>
      <w:pPr>
        <w:pStyle w:val="ListBullet"/>
      </w:pPr>
      <w:r>
        <w:t>Retarget from current presentation while preserving continuity.</w:t>
      </w:r>
    </w:p>
    <w:p>
      <w:pPr>
        <w:pStyle w:val="ListBullet"/>
      </w:pPr>
      <w:r>
        <w:t>Compose Motion-owned transform channels safely with application transforms.</w:t>
      </w:r>
    </w:p>
    <w:p>
      <w:pPr>
        <w:pStyle w:val="ListBullet"/>
      </w:pPr>
      <w:r>
        <w:t>Restore/remove only Motion-owned constraints and presentation.</w:t>
      </w:r>
    </w:p>
    <w:p>
      <w:pPr>
        <w:pStyle w:val="Heading1"/>
      </w:pPr>
      <w:r>
        <w:t>10. GT integration expectations</w:t>
      </w:r>
    </w:p>
    <w:p>
      <w:r>
        <w:t>Motion is GT-focused and should be quietly moldable by design. Important runtime objects should be inspectable and navigable without creating a giant tooling layer up front.</w:t>
      </w:r>
    </w:p>
    <w:p>
      <w:pPr>
        <w:pStyle w:val="ListBullet"/>
      </w:pPr>
      <w:r>
        <w:t>Coordinator view: active operations, property ownership, conflicts, readiness and cleanup.</w:t>
      </w:r>
    </w:p>
    <w:p>
      <w:pPr>
        <w:pStyle w:val="ListBullet"/>
      </w:pPr>
      <w:r>
        <w:t>Operation view: state, subject, tracks, destination, policies and trace.</w:t>
      </w:r>
    </w:p>
    <w:p>
      <w:pPr>
        <w:pStyle w:val="ListBullet"/>
      </w:pPr>
      <w:r>
        <w:t>Snapshot/geometry view: coordinate space, captured bounds, validity and hierarchy context.</w:t>
      </w:r>
    </w:p>
    <w:p>
      <w:pPr>
        <w:pStyle w:val="ListBullet"/>
      </w:pPr>
      <w:r>
        <w:t>Readiness view: what is awaited, evidence and cleanup.</w:t>
      </w:r>
    </w:p>
    <w:p>
      <w:pPr>
        <w:pStyle w:val="ListBullet"/>
      </w:pPr>
      <w:r>
        <w:t>Effect view: primitive composition, parameters, examples and reduced alternative.</w:t>
      </w:r>
    </w:p>
    <w:p>
      <w:pPr>
        <w:pStyle w:val="ListBullet"/>
      </w:pPr>
      <w:r>
        <w:t>Examples return useful live Motion objects, not only rendered elements.</w:t>
      </w:r>
    </w:p>
    <w:p>
      <w:pPr>
        <w:pStyle w:val="ListBullet"/>
      </w:pPr>
      <w:r>
        <w:t>Failures carry relevant objects and explain violated invariants.</w:t>
      </w:r>
    </w:p>
    <w:p>
      <w:pPr>
        <w:pStyle w:val="Heading1"/>
      </w:pPr>
      <w:r>
        <w:t>11. Configuration Editor acceptance target</w:t>
      </w:r>
    </w:p>
    <w:p>
      <w:r>
        <w:t>The Configuration Editor is the first complex proving ground after isolated examples.</w:t>
      </w:r>
    </w:p>
    <w:p>
      <w:pPr>
        <w:pStyle w:val="ListBullet"/>
      </w:pPr>
      <w:r>
        <w:t>Two visual elements: drag representation under the pointer and separate drop preview in the target.</w:t>
      </w:r>
    </w:p>
    <w:p>
      <w:pPr>
        <w:pStyle w:val="ListBullet"/>
      </w:pPr>
      <w:r>
        <w:t>Closest valid nested container selected through one coherent visible-target/hit-test model.</w:t>
      </w:r>
    </w:p>
    <w:p>
      <w:pPr>
        <w:pStyle w:val="ListBullet"/>
      </w:pPr>
      <w:r>
        <w:t>Old gap closes while new gap opens; preview retargets between geometries simultaneously.</w:t>
      </w:r>
    </w:p>
    <w:p>
      <w:pPr>
        <w:pStyle w:val="ListBullet"/>
      </w:pPr>
      <w:r>
        <w:t>Container expansion, sibling displacement, gap and preview opacity may share one semantic transaction.</w:t>
      </w:r>
    </w:p>
    <w:p>
      <w:pPr>
        <w:pStyle w:val="ListBullet"/>
      </w:pPr>
      <w:r>
        <w:t>No uniform row-size assumptions and no index-based geometry heuristics.</w:t>
      </w:r>
    </w:p>
    <w:p>
      <w:pPr>
        <w:pStyle w:val="ListBullet"/>
      </w:pPr>
      <w:r>
        <w:t>Retarget starts from current preview presentation, never 0@0 or temporary overlay geometry.</w:t>
      </w:r>
    </w:p>
    <w:p>
      <w:pPr>
        <w:pStyle w:val="ListBullet"/>
      </w:pPr>
      <w:r>
        <w:t>Async Preparing content cannot define authoritative destination geometry.</w:t>
      </w:r>
    </w:p>
    <w:p>
      <w:pPr>
        <w:pStyle w:val="ListBullet"/>
      </w:pPr>
      <w:r>
        <w:t>Sidebar entry disables target/preview without leaking into editor targets.</w:t>
      </w:r>
    </w:p>
    <w:p>
      <w:pPr>
        <w:pStyle w:val="ListBullet"/>
      </w:pPr>
      <w:r>
        <w:t>Hover-open/user-open form state semantics are preserved on drop.</w:t>
      </w:r>
    </w:p>
    <w:p>
      <w:pPr>
        <w:pStyle w:val="ListBullet"/>
      </w:pPr>
      <w:r>
        <w:t>Successful adoption invalidates pending callbacks and clears all operation-owned presentation.</w:t>
      </w:r>
    </w:p>
    <w:p>
      <w:pPr>
        <w:pStyle w:val="ListBullet"/>
      </w:pPr>
      <w:r>
        <w:t>Second and later drops behave exactly like the first.</w:t>
      </w:r>
    </w:p>
    <w:p>
      <w:pPr>
        <w:pStyle w:val="Heading1"/>
      </w:pPr>
      <w:r>
        <w:t>12. Consequential choices still requiring source experiments</w:t>
      </w:r>
    </w:p>
    <w:tbl>
      <w:tblPr>
        <w:tblW w:type="auto" w:w="0"/>
        <w:jc w:val="center"/>
        <w:tblLook w:firstColumn="1" w:firstRow="1" w:lastColumn="0" w:lastRow="0" w:noHBand="0" w:noVBand="1" w:val="04A0"/>
      </w:tblPr>
      <w:tblGrid>
        <w:gridCol w:w="10166"/>
      </w:tblGrid>
      <w:tr>
        <w:tc>
          <w:tcPr>
            <w:tcW w:type="dxa" w:w="10166"/>
            <w:shd w:fill="EAF2F8"/>
          </w:tcPr>
          <w:p>
            <w:r>
              <w:rPr>
                <w:b/>
                <w:sz w:val="20"/>
              </w:rPr>
              <w:t>Transform composition</w:t>
            </w:r>
          </w:p>
          <w:p>
            <w:pPr>
              <w:spacing w:after="0"/>
            </w:pPr>
            <w:r>
              <w:t>Prefer a dedicated Motion-owned transform channel/layer if Bloc provides a safe composition seam. Full matrix decomposition/recomposition risks ownership and restoration errors. Verify against actual BlTransformation APIs before choosing.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Geometry property shape</w:t>
            </w:r>
          </w:p>
          <w:p>
            <w:pPr>
              <w:spacing w:after="0"/>
            </w:pPr>
            <w:r>
              <w:t>Decide whether layout geometry is represented by one typed bounds property with component projections, or a small family of position/extent channels sharing one snapshot. The choice affects conflict ownership and retargeting.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Coordinator storage</w:t>
            </w:r>
          </w:p>
          <w:p>
            <w:pPr>
              <w:spacing w:after="0"/>
            </w:pPr>
            <w:r>
              <w:t>Root userData is simple and space-local; a weak registry avoids root coupling but introduces global state. Keep the current direction unless source inspection shows root replacement hazards.</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Operation states</w:t>
            </w:r>
          </w:p>
          <w:p>
            <w:pPr>
              <w:spacing w:after="0"/>
            </w:pPr>
            <w:r>
              <w:t>Typed singleton state objects are the likely starting point. Promote to state-specific classes only where state owns meaningful protocol.</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Stable layout readiness</w:t>
            </w:r>
          </w:p>
          <w:p>
            <w:pPr>
              <w:spacing w:after="0"/>
            </w:pPr>
            <w:r>
              <w:t>Likely compose explicit semantic readiness with bounded geometry stability. Do not assume one pulse means ready.</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Effect composition API</w:t>
            </w:r>
          </w:p>
          <w:p>
            <w:pPr>
              <w:spacing w:after="0"/>
            </w:pPr>
            <w:r>
              <w:t>The library concept is required, but the exact fluent composition syntax is not frozen. Preserve typed primitive composition and ready-to-use named recipes; validate syntax through executable examples.</w:t>
            </w:r>
          </w:p>
        </w:tc>
      </w:tr>
    </w:tbl>
    <w:p>
      <w:pPr>
        <w:spacing w:after="0"/>
      </w:pPr>
    </w:p>
    <w:p>
      <w:pPr>
        <w:pStyle w:val="Heading1"/>
      </w:pPr>
      <w:r>
        <w:t>13. Source/archive set for Codex</w:t>
      </w:r>
    </w:p>
    <w:p>
      <w:r>
        <w:t>Use the latest available versions of:</w:t>
      </w:r>
    </w:p>
    <w:p>
      <w:pPr>
        <w:pStyle w:val="ListBullet"/>
      </w:pPr>
      <w:r>
        <w:t>CatalystFoundation source archive.</w:t>
      </w:r>
    </w:p>
    <w:p>
      <w:pPr>
        <w:pStyle w:val="ListBullet"/>
      </w:pPr>
      <w:r>
        <w:t>GTUI source archive.</w:t>
      </w:r>
    </w:p>
    <w:p>
      <w:pPr>
        <w:pStyle w:val="ListBullet"/>
      </w:pPr>
      <w:r>
        <w:t>GT Motion prototype/fix archive containing the green examples.</w:t>
      </w:r>
    </w:p>
    <w:p>
      <w:pPr>
        <w:pStyle w:val="ListBullet"/>
      </w:pPr>
      <w:r>
        <w:t>GT-Motion-Technical-Specification-Base-v1.1.docx.</w:t>
      </w:r>
    </w:p>
    <w:p>
      <w:pPr>
        <w:pStyle w:val="ListBullet"/>
      </w:pPr>
      <w:r>
        <w:t>GT-Motion-Features-Usage-and-Examples-Base-v1.1.docx.</w:t>
      </w:r>
    </w:p>
    <w:p>
      <w:pPr>
        <w:pStyle w:val="ListBullet"/>
      </w:pPr>
      <w:r>
        <w:t>This handover document.</w:t>
      </w:r>
    </w:p>
    <w:p>
      <w:r>
        <w:t>Runtime is intentionally absent at this stage. It becomes a Motion consumer later.</w:t>
      </w:r>
    </w:p>
    <w:p>
      <w:pPr>
        <w:pStyle w:val="Heading1"/>
      </w:pPr>
      <w:r>
        <w:t>14. Suggested Codex opening instruction</w:t>
      </w:r>
    </w:p>
    <w:p>
      <w:pPr>
        <w:pStyle w:val="CodeBlock"/>
      </w:pPr>
      <w:r>
        <w:t>We are continuing GT Motion, a dedicated GT / Bloc / Brick temporal UI framework in BVC Foundation.</w:t>
        <w:br/>
        <w:br/>
        <w:t>Read the handover and the two accompanying design documents. Treat those documents as hints to the ideals and current vocabulary, not as a frozen contract. Treat the latest GTUI and Catalyst Foundation sources and executable examples as truth.</w:t>
        <w:br/>
        <w:br/>
        <w:t>Deep-read the exact Bloc Animation, BlSpace frame/pulse/layout, bounds/coordinate, geometry and transformation APIs before changing implementation. Review Brick states, wishes and aptitudes where relevant.</w:t>
        <w:br/>
        <w:br/>
        <w:t>Begin by evaluating the current green opacity prototype against the desired shared operation spine. Propose the smallest source-grounded refactor that unifies lifecycle, ownership, retargeting, cancellation, tracing and cleanup. Do not add layout or effects features until that spine is coherent and executable examples are green.</w:t>
        <w:br/>
        <w:br/>
        <w:t>Do not guess. When a consequential design choice lacks a clearly superior source-grounded answer, stop and present the options and implications.</w:t>
        <w:br/>
        <w:br/>
        <w:t>Naming must be clean and right-sized:</w:t>
        <w:br/>
        <w:t>- properties use ordinary property selectors, such as opacity:;</w:t>
        <w:br/>
        <w:t>- semantic operations use verbs;</w:t>
        <w:br/>
        <w:t>- transaction directives name the participating change without animate prefixes;</w:t>
        <w:br/>
        <w:t>- geometry is foundational, with position/extent/width/height as projections;</w:t>
        <w:br/>
        <w:t>- complex effects compose from primitives but are also exposed as discoverable ready-to-use library recipes.</w:t>
        <w:br/>
        <w:br/>
        <w:t>Build for GT first. Keep every important runtime object inspectable and navigable, but let the design demonstrate that quietly rather than turning the framework into a tooling slogan.</w:t>
      </w:r>
    </w:p>
    <w:p>
      <w:pPr>
        <w:pStyle w:val="Heading1"/>
      </w:pPr>
      <w:r>
        <w:t>15. Final reminder</w:t>
      </w:r>
    </w:p>
    <w:tbl>
      <w:tblPr>
        <w:tblW w:type="auto" w:w="0"/>
        <w:jc w:val="center"/>
        <w:tblLook w:firstColumn="1" w:firstRow="1" w:lastColumn="0" w:lastRow="0" w:noHBand="0" w:noVBand="1" w:val="04A0"/>
      </w:tblPr>
      <w:tblGrid>
        <w:gridCol w:w="10166"/>
      </w:tblGrid>
      <w:tr>
        <w:tc>
          <w:tcPr>
            <w:tcW w:type="dxa" w:w="10166"/>
            <w:shd w:fill="EAF2F8"/>
          </w:tcPr>
          <w:p>
            <w:r>
              <w:rPr>
                <w:b/>
                <w:sz w:val="20"/>
              </w:rPr>
              <w:t>The documents are a compass, not handcuffs</w:t>
            </w:r>
          </w:p>
          <w:p>
            <w:pPr>
              <w:spacing w:after="0"/>
            </w:pPr>
            <w:r>
              <w:t>Review the design continuously against real Bloc and Brick behaviour. Improve names, object boundaries and protocols when source or executable examples reveal a cleaner fit. Preserve the ideals: GT-native, typed, discoverable, composable, inspectable, no hidden ownership, no geometry guesses, and simple things genuinely simple.</w:t>
            </w:r>
          </w:p>
        </w:tc>
      </w:tr>
    </w:tbl>
    <w:p>
      <w:pPr>
        <w:spacing w:after="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Handover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 Codex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4A7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17"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