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Catalyst Foundation - Architecture</w:t>
      </w:r>
    </w:p>
    <w:p>
      <w:pPr>
        <w:pStyle w:val="Subtitle"/>
      </w:pPr>
      <w:r>
        <w:t>Application foundation, configuration and Magritte presentation architecture</w:t>
      </w:r>
    </w:p>
    <w:p/>
    <w:tbl>
      <w:tblPr>
        <w:tblW w:type="auto" w:w="0"/>
        <w:tblLook w:firstColumn="1" w:firstRow="1" w:lastColumn="0" w:lastRow="0" w:noHBand="0" w:noVBand="1" w:val="04A0"/>
      </w:tblPr>
      <w:tblGrid>
        <w:gridCol w:w="9878"/>
      </w:tblGrid>
      <w:tr>
        <w:tc>
          <w:tcPr>
            <w:tcW w:type="dxa" w:w="9878"/>
          </w:tcPr>
          <w:p>
            <w:r>
              <w:rPr>
                <w:b/>
              </w:rPr>
              <w:t xml:space="preserve">Positioning  </w:t>
            </w:r>
            <w:r>
              <w:t>Catalyst Foundation is the shared application and UI foundation for Catalyst systems.</w:t>
            </w:r>
          </w:p>
        </w:tc>
      </w:tr>
    </w:tbl>
    <w:tbl>
      <w:tblPr>
        <w:tblW w:type="auto" w:w="0"/>
        <w:tblLook w:firstColumn="1" w:firstRow="1" w:lastColumn="0" w:lastRow="0" w:noHBand="0" w:noVBand="1" w:val="04A0"/>
      </w:tblPr>
      <w:tblGrid>
        <w:gridCol w:w="9878"/>
      </w:tblGrid>
      <w:tr>
        <w:tc>
          <w:tcPr>
            <w:tcW w:type="dxa" w:w="9878"/>
          </w:tcPr>
          <w:p>
            <w:r>
              <w:rPr>
                <w:b/>
              </w:rPr>
              <w:t xml:space="preserve">Authority  </w:t>
            </w:r>
            <w:r>
              <w:t>Current Catalyst Foundation source defines the architecture. Executable examples define the observable presentation and configuration contracts.</w:t>
            </w:r>
          </w:p>
        </w:tc>
      </w:tr>
    </w:tbl>
    <w:p>
      <w:pPr>
        <w:pStyle w:val="Heading1"/>
      </w:pPr>
      <w:r>
        <w:t>Purpose</w:t>
      </w:r>
    </w:p>
    <w:p>
      <w:r>
        <w:t>Catalyst Foundation supplies shared model conventions, configuration graphs, Magritte integration, Foundation presentations and application composition infrastructure for Catalyst systems. Magritte provides descriptions and model metadata. GT Magritte provides the memento-backed form bridge. Bloc owns elements, layout, focus and events. Brick supplies controls and aptitudes. Foundation composes those mechanisms into its application model, configuration and presentation language.</w:t>
      </w:r>
    </w:p>
    <w:p>
      <w:pPr>
        <w:pStyle w:val="ListBullet"/>
      </w:pPr>
      <w:r>
        <w:t>Magritte-described Foundation objects and configuration graphs.</w:t>
      </w:r>
    </w:p>
    <w:p>
      <w:pPr>
        <w:pStyle w:val="ListBullet"/>
      </w:pPr>
      <w:r>
        <w:t>Transactional Foundation forms through CFMaMemento and CFMaViewModel.</w:t>
      </w:r>
    </w:p>
    <w:p>
      <w:pPr>
        <w:pStyle w:val="ListBullet"/>
      </w:pPr>
      <w:r>
        <w:t>Detail presentation with rows, groups, categories, fields, actions and relations.</w:t>
      </w:r>
    </w:p>
    <w:p>
      <w:pPr>
        <w:pStyle w:val="ListBullet"/>
      </w:pPr>
      <w:r>
        <w:t>Reference-driven compact identity for identifiable objects and relation objects.</w:t>
      </w:r>
    </w:p>
    <w:p>
      <w:pPr>
        <w:pStyle w:val="ListBullet"/>
      </w:pPr>
      <w:r>
        <w:t>Configuration serialization, validation, libraries and placement planning.</w:t>
      </w:r>
    </w:p>
    <w:p>
      <w:pPr>
        <w:pStyle w:val="ListBullet"/>
      </w:pPr>
      <w:r>
        <w:t>Composer and configuration-editor integration for interactive application tooling.</w:t>
      </w:r>
    </w:p>
    <w:p>
      <w:pPr>
        <w:pStyle w:val="ListBullet"/>
      </w:pPr>
      <w:r>
        <w:t>Catalyst Motion and Catalyst Physics as Foundation UI/runtime components in the Pharo baseline.</w:t>
      </w:r>
    </w:p>
    <w:p>
      <w:pPr>
        <w:pStyle w:val="Heading1"/>
      </w:pPr>
      <w:r>
        <w:t>Architectural model</w:t>
      </w:r>
    </w:p>
    <w:tbl>
      <w:tblPr>
        <w:tblW w:type="auto" w:w="0"/>
        <w:tblLook w:firstColumn="1" w:firstRow="1" w:lastColumn="0" w:lastRow="0" w:noHBand="0" w:noVBand="1" w:val="04A0"/>
      </w:tblPr>
      <w:tblGrid>
        <w:gridCol w:w="9878"/>
      </w:tblGrid>
      <w:tr>
        <w:tc>
          <w:tcPr>
            <w:tcW w:type="dxa" w:w="9878"/>
          </w:tcPr>
          <w:p>
            <w:pPr/>
            <w:r>
              <w:rPr>
                <w:rFonts w:ascii="Menlo" w:hAnsi="Menlo"/>
                <w:sz w:val="18"/>
              </w:rPr>
              <w:t>CFObject / CFIdentifiableObject / CFLabelledObject</w:t>
            </w:r>
            <w:r>
              <w:br/>
            </w:r>
            <w:r>
              <w:rPr>
                <w:rFonts w:ascii="Menlo" w:hAnsi="Menlo"/>
                <w:sz w:val="18"/>
              </w:rPr>
              <w:t xml:space="preserve">    Magritte descriptions</w:t>
            </w:r>
            <w:r>
              <w:br/>
            </w:r>
            <w:r>
              <w:rPr>
                <w:rFonts w:ascii="Menlo" w:hAnsi="Menlo"/>
                <w:sz w:val="18"/>
              </w:rPr>
              <w:t xml:space="preserve">        MAContainer</w:t>
            </w:r>
            <w:r>
              <w:br/>
            </w:r>
            <w:r>
              <w:rPr>
                <w:rFonts w:ascii="Menlo" w:hAnsi="Menlo"/>
                <w:sz w:val="18"/>
              </w:rPr>
              <w:t xml:space="preserve">            Foundation presentation configuration</w:t>
            </w:r>
            <w:r>
              <w:br/>
            </w:r>
            <w:r>
              <w:rPr>
                <w:rFonts w:ascii="Menlo" w:hAnsi="Menlo"/>
                <w:sz w:val="18"/>
              </w:rPr>
              <w:t xml:space="preserve">            compact identity reference</w:t>
            </w:r>
            <w:r>
              <w:br/>
            </w:r>
            <w:r>
              <w:rPr>
                <w:rFonts w:ascii="Menlo" w:hAnsi="Menlo"/>
                <w:sz w:val="18"/>
              </w:rPr>
              <w:t xml:space="preserve">            CFMaMemento</w:t>
            </w:r>
            <w:r>
              <w:br/>
            </w:r>
            <w:r>
              <w:rPr>
                <w:rFonts w:ascii="Menlo" w:hAnsi="Menlo"/>
                <w:sz w:val="18"/>
              </w:rPr>
              <w:t xml:space="preserve">                CFMaViewModel</w:t>
            </w:r>
            <w:r>
              <w:br/>
            </w:r>
            <w:r>
              <w:rPr>
                <w:rFonts w:ascii="Menlo" w:hAnsi="Menlo"/>
                <w:sz w:val="18"/>
              </w:rPr>
              <w:t xml:space="preserve">                    CFMaPresentation</w:t>
            </w:r>
            <w:r>
              <w:br/>
            </w:r>
            <w:r>
              <w:rPr>
                <w:rFonts w:ascii="Menlo" w:hAnsi="Menlo"/>
                <w:sz w:val="18"/>
              </w:rPr>
              <w:t xml:space="preserve">                        CFMaDetailPresentation</w:t>
            </w:r>
            <w:r>
              <w:br/>
            </w:r>
            <w:r>
              <w:rPr>
                <w:rFonts w:ascii="Menlo" w:hAnsi="Menlo"/>
                <w:sz w:val="18"/>
              </w:rPr>
              <w:t xml:space="preserve">                            semantic groups / categories</w:t>
            </w:r>
            <w:r>
              <w:br/>
            </w:r>
            <w:r>
              <w:rPr>
                <w:rFonts w:ascii="Menlo" w:hAnsi="Menlo"/>
                <w:sz w:val="18"/>
              </w:rPr>
              <w:t xml:space="preserve">                            Detail cards / rows</w:t>
            </w:r>
            <w:r>
              <w:br/>
            </w:r>
            <w:r>
              <w:rPr>
                <w:rFonts w:ascii="Menlo" w:hAnsi="Menlo"/>
                <w:sz w:val="18"/>
              </w:rPr>
              <w:t xml:space="preserve">                            fields / actions / relations</w:t>
            </w:r>
            <w:r>
              <w:br/>
            </w:r>
            <w:r>
              <w:rPr>
                <w:rFonts w:ascii="Menlo" w:hAnsi="Menlo"/>
                <w:sz w:val="18"/>
              </w:rPr>
              <w:t xml:space="preserve">                            nested presentation hosts</w:t>
            </w:r>
            <w:r>
              <w:br/>
            </w:r>
            <w:r>
              <w:rPr>
                <w:rFonts w:ascii="Menlo" w:hAnsi="Menlo"/>
                <w:sz w:val="18"/>
              </w:rPr>
            </w:r>
            <w:r>
              <w:br/>
            </w:r>
            <w:r>
              <w:rPr>
                <w:rFonts w:ascii="Menlo" w:hAnsi="Menlo"/>
                <w:sz w:val="18"/>
              </w:rPr>
              <w:t>CFConfiguration</w:t>
            </w:r>
            <w:r>
              <w:br/>
            </w:r>
            <w:r>
              <w:rPr>
                <w:rFonts w:ascii="Menlo" w:hAnsi="Menlo"/>
                <w:sz w:val="18"/>
              </w:rPr>
              <w:t xml:space="preserve">    serialization / validation / library / planner</w:t>
            </w:r>
            <w:r>
              <w:br/>
            </w:r>
            <w:r>
              <w:rPr>
                <w:rFonts w:ascii="Menlo" w:hAnsi="Menlo"/>
                <w:sz w:val="18"/>
              </w:rPr>
              <w:t xml:space="preserve">    configuration editor</w:t>
            </w:r>
            <w:r>
              <w:br/>
            </w:r>
            <w:r>
              <w:rPr>
                <w:rFonts w:ascii="Menlo" w:hAnsi="Menlo"/>
                <w:sz w:val="18"/>
              </w:rPr>
            </w:r>
            <w:r>
              <w:br/>
            </w:r>
            <w:r>
              <w:rPr>
                <w:rFonts w:ascii="Menlo" w:hAnsi="Menlo"/>
                <w:sz w:val="18"/>
              </w:rPr>
              <w:t>Foundation UI baseline</w:t>
            </w:r>
            <w:r>
              <w:br/>
            </w:r>
            <w:r>
              <w:rPr>
                <w:rFonts w:ascii="Menlo" w:hAnsi="Menlo"/>
                <w:sz w:val="18"/>
              </w:rPr>
              <w:t xml:space="preserve">    Catalyst Motion</w:t>
            </w:r>
            <w:r>
              <w:br/>
            </w:r>
            <w:r>
              <w:rPr>
                <w:rFonts w:ascii="Menlo" w:hAnsi="Menlo"/>
                <w:sz w:val="18"/>
              </w:rPr>
              <w:t xml:space="preserve">    Catalyst Physics</w:t>
            </w:r>
            <w:r>
              <w:br/>
            </w:r>
            <w:r>
              <w:rPr>
                <w:rFonts w:ascii="Menlo" w:hAnsi="Menlo"/>
                <w:sz w:val="18"/>
              </w:rPr>
              <w:t xml:space="preserve">    Composer</w:t>
            </w:r>
          </w:p>
        </w:tc>
      </w:tr>
    </w:tbl>
    <w:p>
      <w:r>
        <w:br w:type="page"/>
      </w:r>
    </w:p>
    <w:tbl>
      <w:tblPr>
        <w:tblStyle w:val="TableGrid"/>
        <w:tblW w:type="auto" w:w="0"/>
        <w:tblLook w:firstColumn="1" w:firstRow="1" w:lastColumn="0" w:lastRow="0" w:noHBand="0" w:noVBand="1" w:val="04A0"/>
      </w:tblPr>
      <w:tblGrid>
        <w:gridCol w:w="4939"/>
        <w:gridCol w:w="4939"/>
      </w:tblGrid>
      <w:tr>
        <w:tc>
          <w:tcPr>
            <w:tcW w:type="dxa" w:w="4939"/>
          </w:tcPr>
          <w:p>
            <w:r>
              <w:rPr>
                <w:b/>
              </w:rPr>
              <w:t>Package</w:t>
            </w:r>
          </w:p>
        </w:tc>
        <w:tc>
          <w:tcPr>
            <w:tcW w:type="dxa" w:w="4939"/>
          </w:tcPr>
          <w:p>
            <w:r>
              <w:rPr>
                <w:b/>
              </w:rPr>
              <w:t>Primary responsibility</w:t>
            </w:r>
          </w:p>
        </w:tc>
      </w:tr>
      <w:tr>
        <w:tc>
          <w:tcPr>
            <w:tcW w:type="dxa" w:w="4939"/>
          </w:tcPr>
          <w:p>
            <w:r>
              <w:t>BVC-Foundation-Core</w:t>
            </w:r>
          </w:p>
        </w:tc>
        <w:tc>
          <w:tcPr>
            <w:tcW w:type="dxa" w:w="4939"/>
          </w:tcPr>
          <w:p>
            <w:r>
              <w:t>Foundation object model, identifiable and labelled objects, shared value objects and common model conventions.</w:t>
            </w:r>
          </w:p>
        </w:tc>
      </w:tr>
      <w:tr>
        <w:tc>
          <w:tcPr>
            <w:tcW w:type="dxa" w:w="4939"/>
          </w:tcPr>
          <w:p>
            <w:r>
              <w:t>BVC-Foundation-Magritte-Core</w:t>
            </w:r>
          </w:p>
        </w:tc>
        <w:tc>
          <w:tcPr>
            <w:tcW w:type="dxa" w:w="4939"/>
          </w:tcPr>
          <w:p>
            <w:r>
              <w:t>Renderer-independent Foundation Magritte metadata and field representation configuration.</w:t>
            </w:r>
          </w:p>
        </w:tc>
      </w:tr>
      <w:tr>
        <w:tc>
          <w:tcPr>
            <w:tcW w:type="dxa" w:w="4939"/>
          </w:tcPr>
          <w:p>
            <w:r>
              <w:t>BVC-Foundation-Magritte-GT</w:t>
            </w:r>
          </w:p>
        </w:tc>
        <w:tc>
          <w:tcPr>
            <w:tcW w:type="dxa" w:w="4939"/>
          </w:tcPr>
          <w:p>
            <w:r>
              <w:t>GT Magritte transaction, view-model, presentation, reference rendering, form-root and navigation integration.</w:t>
            </w:r>
          </w:p>
        </w:tc>
      </w:tr>
      <w:tr>
        <w:tc>
          <w:tcPr>
            <w:tcW w:type="dxa" w:w="4939"/>
          </w:tcPr>
          <w:p>
            <w:r>
              <w:t>BVC-Foundation-Magritte-Detail</w:t>
            </w:r>
          </w:p>
        </w:tc>
        <w:tc>
          <w:tcPr>
            <w:tcW w:type="dxa" w:w="4939"/>
          </w:tcPr>
          <w:p>
            <w:r>
              <w:t>Detail row/card/group presentation, field controls, relation interaction and visual presentation configuration.</w:t>
            </w:r>
          </w:p>
        </w:tc>
      </w:tr>
      <w:tr>
        <w:tc>
          <w:tcPr>
            <w:tcW w:type="dxa" w:w="4939"/>
          </w:tcPr>
          <w:p>
            <w:r>
              <w:t>BVC-Foundation-Magritte-Seaside</w:t>
            </w:r>
          </w:p>
        </w:tc>
        <w:tc>
          <w:tcPr>
            <w:tcW w:type="dxa" w:w="4939"/>
          </w:tcPr>
          <w:p>
            <w:r>
              <w:t>Seaside-facing Foundation Magritte integration.</w:t>
            </w:r>
          </w:p>
        </w:tc>
      </w:tr>
      <w:tr>
        <w:tc>
          <w:tcPr>
            <w:tcW w:type="dxa" w:w="4939"/>
          </w:tcPr>
          <w:p>
            <w:r>
              <w:t>BVC-Foundation-Config-Core</w:t>
            </w:r>
          </w:p>
        </w:tc>
        <w:tc>
          <w:tcPr>
            <w:tcW w:type="dxa" w:w="4939"/>
          </w:tcPr>
          <w:p>
            <w:r>
              <w:t>Configuration graph model, relation lifecycle context and serialization codec.</w:t>
            </w:r>
          </w:p>
        </w:tc>
      </w:tr>
      <w:tr>
        <w:tc>
          <w:tcPr>
            <w:tcW w:type="dxa" w:w="4939"/>
          </w:tcPr>
          <w:p>
            <w:r>
              <w:t>BVC-Foundation-Config-Validation</w:t>
            </w:r>
          </w:p>
        </w:tc>
        <w:tc>
          <w:tcPr>
            <w:tcW w:type="dxa" w:w="4939"/>
          </w:tcPr>
          <w:p>
            <w:r>
              <w:t>Configuration graph and Magritte validation.</w:t>
            </w:r>
          </w:p>
        </w:tc>
      </w:tr>
      <w:tr>
        <w:tc>
          <w:tcPr>
            <w:tcW w:type="dxa" w:w="4939"/>
          </w:tcPr>
          <w:p>
            <w:r>
              <w:t>BVC-Foundation-Config-Library</w:t>
            </w:r>
          </w:p>
        </w:tc>
        <w:tc>
          <w:tcPr>
            <w:tcW w:type="dxa" w:w="4939"/>
          </w:tcPr>
          <w:p>
            <w:r>
              <w:t>Reusable configuration assets and configuration libraries.</w:t>
            </w:r>
          </w:p>
        </w:tc>
      </w:tr>
      <w:tr>
        <w:tc>
          <w:tcPr>
            <w:tcW w:type="dxa" w:w="4939"/>
          </w:tcPr>
          <w:p>
            <w:r>
              <w:t>BVC-Foundation-Config-Planner</w:t>
            </w:r>
          </w:p>
        </w:tc>
        <w:tc>
          <w:tcPr>
            <w:tcW w:type="dxa" w:w="4939"/>
          </w:tcPr>
          <w:p>
            <w:r>
              <w:t>Candidate placement discovery, validation assessment and application plans.</w:t>
            </w:r>
          </w:p>
        </w:tc>
      </w:tr>
      <w:tr>
        <w:tc>
          <w:tcPr>
            <w:tcW w:type="dxa" w:w="4939"/>
          </w:tcPr>
          <w:p>
            <w:r>
              <w:t>BVC-Foundation-Config-UI-Core</w:t>
            </w:r>
          </w:p>
        </w:tc>
        <w:tc>
          <w:tcPr>
            <w:tcW w:type="dxa" w:w="4939"/>
          </w:tcPr>
          <w:p>
            <w:r>
              <w:t>Shared configuration-library UI.</w:t>
            </w:r>
          </w:p>
        </w:tc>
      </w:tr>
      <w:tr>
        <w:tc>
          <w:tcPr>
            <w:tcW w:type="dxa" w:w="4939"/>
          </w:tcPr>
          <w:p>
            <w:r>
              <w:t>BVC-Foundation-Config-UI-ConfigurationEditor</w:t>
            </w:r>
          </w:p>
        </w:tc>
        <w:tc>
          <w:tcPr>
            <w:tcW w:type="dxa" w:w="4939"/>
          </w:tcPr>
          <w:p>
            <w:r>
              <w:t>Interactive configuration graph editing and placement UI.</w:t>
            </w:r>
          </w:p>
        </w:tc>
      </w:tr>
      <w:tr>
        <w:tc>
          <w:tcPr>
            <w:tcW w:type="dxa" w:w="4939"/>
          </w:tcPr>
          <w:p>
            <w:r>
              <w:t>BVC-Foundation-Composer</w:t>
            </w:r>
          </w:p>
        </w:tc>
        <w:tc>
          <w:tcPr>
            <w:tcW w:type="dxa" w:w="4939"/>
          </w:tcPr>
          <w:p>
            <w:r>
              <w:t>Interactive Magritte-driven composition and editor view-model integration.</w:t>
            </w:r>
          </w:p>
        </w:tc>
      </w:tr>
    </w:tbl>
    <w:p>
      <w:pPr>
        <w:pStyle w:val="Heading1"/>
      </w:pPr>
      <w:r>
        <w:t>Foundation object model</w:t>
      </w:r>
    </w:p>
    <w:p>
      <w:r>
        <w:t>CFObject is the Foundation model root and supplies the shared icon description and relation lifecycle hooks. CFIdentifiableObject adds a stable identifier. CFLabelledObject adds a label and labelled display behaviour.</w:t>
      </w:r>
    </w:p>
    <w:tbl>
      <w:tblPr>
        <w:tblW w:type="auto" w:w="0"/>
        <w:tblLook w:firstColumn="1" w:firstRow="1" w:lastColumn="0" w:lastRow="0" w:noHBand="0" w:noVBand="1" w:val="04A0"/>
      </w:tblPr>
      <w:tblGrid>
        <w:gridCol w:w="9878"/>
      </w:tblGrid>
      <w:tr>
        <w:tc>
          <w:tcPr>
            <w:tcW w:type="dxa" w:w="9878"/>
          </w:tcPr>
          <w:p>
            <w:pPr/>
            <w:r>
              <w:rPr>
                <w:rFonts w:ascii="Menlo" w:hAnsi="Menlo"/>
                <w:sz w:val="18"/>
              </w:rPr>
              <w:t>CFObject</w:t>
            </w:r>
            <w:r>
              <w:br/>
            </w:r>
            <w:r>
              <w:rPr>
                <w:rFonts w:ascii="Menlo" w:hAnsi="Menlo"/>
                <w:sz w:val="18"/>
              </w:rPr>
              <w:t xml:space="preserve">    -&gt; CFIdentifiableObject</w:t>
            </w:r>
            <w:r>
              <w:br/>
            </w:r>
            <w:r>
              <w:rPr>
                <w:rFonts w:ascii="Menlo" w:hAnsi="Menlo"/>
                <w:sz w:val="18"/>
              </w:rPr>
              <w:t xml:space="preserve">        -&gt; CFLabelledObject</w:t>
            </w:r>
            <w:r>
              <w:br/>
            </w:r>
            <w:r>
              <w:rPr>
                <w:rFonts w:ascii="Menlo" w:hAnsi="Menlo"/>
                <w:sz w:val="18"/>
              </w:rPr>
              <w:t xml:space="preserve">            -&gt; CFConfiguration</w:t>
            </w:r>
            <w:r>
              <w:br/>
            </w:r>
            <w:r>
              <w:rPr>
                <w:rFonts w:ascii="Menlo" w:hAnsi="Menlo"/>
                <w:sz w:val="18"/>
              </w:rPr>
              <w:t xml:space="preserve">            -&gt; Foundation application models</w:t>
            </w:r>
          </w:p>
        </w:tc>
      </w:tr>
    </w:tbl>
    <w:p>
      <w:pPr>
        <w:pStyle w:val="Heading1"/>
      </w:pPr>
      <w:r>
        <w:t>Compact identity</w:t>
      </w:r>
    </w:p>
    <w:p>
      <w:r>
        <w:t>Compact identity is expressed as a Magritte reference description. CFIdentifiableObject defines its compact identity as iconDescription, identifierDescription. CFLabelledObject defines iconDescription, labelDescription, identifierDescription. Description concatenation supplies the corresponding Magritte container.</w:t>
      </w:r>
    </w:p>
    <w:p>
      <w:r>
        <w:t>CFIdentifiableObject&gt;&gt;descriptionContainerCompactIdentity: installs the object's compactIdentityReference on its Magritte container when the container has no explicit reference. An explicit container reference therefore defines the compact identity for that form.</w:t>
      </w:r>
    </w:p>
    <w:p>
      <w:r>
        <w:t>CFMaCompactReferenceElementBuilder and CFCompactObjectElement render compact identity from the reference. CFMaReferenceElementBuilder renders relation references. The same Magritte reference vocabulary therefore drives compact object identity and relation identity.</w:t>
      </w:r>
    </w:p>
    <w:p>
      <w:pPr>
        <w:pStyle w:val="Heading1"/>
      </w:pPr>
      <w:r>
        <w:t>Magritte form pipeline</w:t>
      </w:r>
    </w:p>
    <w:tbl>
      <w:tblPr>
        <w:tblW w:type="auto" w:w="0"/>
        <w:tblLook w:firstColumn="1" w:firstRow="1" w:lastColumn="0" w:lastRow="0" w:noHBand="0" w:noVBand="1" w:val="04A0"/>
      </w:tblPr>
      <w:tblGrid>
        <w:gridCol w:w="9878"/>
      </w:tblGrid>
      <w:tr>
        <w:tc>
          <w:tcPr>
            <w:tcW w:type="dxa" w:w="9878"/>
          </w:tcPr>
          <w:p>
            <w:pPr/>
            <w:r>
              <w:rPr>
                <w:rFonts w:ascii="Menlo" w:hAnsi="Menlo"/>
                <w:sz w:val="18"/>
              </w:rPr>
              <w:t>object asElement</w:t>
            </w:r>
            <w:r>
              <w:br/>
            </w:r>
            <w:r>
              <w:rPr>
                <w:rFonts w:ascii="Menlo" w:hAnsi="Menlo"/>
                <w:sz w:val="18"/>
              </w:rPr>
              <w:t xml:space="preserve">    -&gt; CFMaViewModel</w:t>
            </w:r>
            <w:r>
              <w:br/>
            </w:r>
            <w:r>
              <w:rPr>
                <w:rFonts w:ascii="Menlo" w:hAnsi="Menlo"/>
                <w:sz w:val="18"/>
              </w:rPr>
              <w:t xml:space="preserve">        -&gt; CFMaMemento</w:t>
            </w:r>
            <w:r>
              <w:br/>
            </w:r>
            <w:r>
              <w:rPr>
                <w:rFonts w:ascii="Menlo" w:hAnsi="Menlo"/>
                <w:sz w:val="18"/>
              </w:rPr>
              <w:t xml:space="preserve">        -&gt; MAContainer blocPresentationStencil</w:t>
            </w:r>
            <w:r>
              <w:br/>
            </w:r>
            <w:r>
              <w:rPr>
                <w:rFonts w:ascii="Menlo" w:hAnsi="Menlo"/>
                <w:sz w:val="18"/>
              </w:rPr>
              <w:t xml:space="preserve">            -&gt; CFMaPresentation</w:t>
            </w:r>
            <w:r>
              <w:br/>
            </w:r>
            <w:r>
              <w:rPr>
                <w:rFonts w:ascii="Menlo" w:hAnsi="Menlo"/>
                <w:sz w:val="18"/>
              </w:rPr>
              <w:t xml:space="preserve">                -&gt; build into CFMaFormRootElement</w:t>
            </w:r>
          </w:p>
        </w:tc>
      </w:tr>
    </w:tbl>
    <w:p>
      <w:r>
        <w:t>CFMaViewModel creates CFMaMemento for ordinary Foundation objects, resolves the form container stencil, creates the presentation from the Magritte container's blocPresentationStencil and builds the form into CFMaFormRootElement. A supplied blocElementContainerStencil remains the form-container construction seam.</w:t>
      </w:r>
    </w:p>
    <w:p>
      <w:r>
        <w:t>MAContainer&gt;&gt;blocPresentationStencil stores a CFMaPresentationStencilBuilder. The presentation receives the current memento, form and host before build. This gives each Magritte container a normal presentation-selection seam.</w:t>
      </w:r>
    </w:p>
    <w:p>
      <w:pPr>
        <w:pStyle w:val="Heading1"/>
      </w:pPr>
      <w:r>
        <w:t>Transactional model</w:t>
      </w:r>
    </w:p>
    <w:p>
      <w:r>
        <w:t>CFMaMemento extends GtMagritteMemento across embedded relation objects. Child mementos are stored per relation description and related-object identity. Reconciliation retains child mementos for surviving objects. Commit and reset propagate through child mementos, and overall status combines parent and child validity/change state.</w:t>
      </w:r>
    </w:p>
    <w:p>
      <w:r>
        <w:t>Embedded relation presentations receive their child memento directly. Reference rendering reads matching descriptions from that child transaction, keeping displayed identity aligned with edited transactional values.</w:t>
      </w:r>
    </w:p>
    <w:p>
      <w:pPr>
        <w:pStyle w:val="Heading1"/>
      </w:pPr>
      <w:r>
        <w:t>Presentation composition</w:t>
      </w:r>
    </w:p>
    <w:p>
      <w:r>
        <w:t>CFMaPresentation owns presentation-level form composition. CFMaPresentationGroupElement represents a semantic presentation group. CFMaPresentationHostElement is the stable host for a nested child presentation.</w:t>
      </w:r>
    </w:p>
    <w:p>
      <w:r>
        <w:t>CFMaDetailPresentation maps Magritte groups and Foundation categories into CFMaDetailGroupElement instances. CFMaDetailGroupElement composes ordinary Detail card runs and nested presentation hosts. CFMaDetailGroupCardElement owns the ordered logical rows and their separators.</w:t>
      </w:r>
    </w:p>
    <w:p>
      <w:pPr>
        <w:pStyle w:val="ListBullet"/>
      </w:pPr>
      <w:r>
        <w:t>Magritte group is the first grouping level.</w:t>
      </w:r>
    </w:p>
    <w:p>
      <w:pPr>
        <w:pStyle w:val="ListBullet"/>
      </w:pPr>
      <w:r>
        <w:t>MADescription&gt;&gt;categories supplies additional recursive Foundation grouping levels.</w:t>
      </w:r>
    </w:p>
    <w:p>
      <w:pPr>
        <w:pStyle w:val="ListBullet"/>
      </w:pPr>
      <w:r>
        <w:t>Default group presentation uses ordinary Detail cards.</w:t>
      </w:r>
    </w:p>
    <w:p>
      <w:pPr>
        <w:pStyle w:val="ListBullet"/>
      </w:pPr>
      <w:r>
        <w:t>CFMaDetailTabsConfiguration presents child groups as tabs.</w:t>
      </w:r>
    </w:p>
    <w:p>
      <w:pPr>
        <w:pStyle w:val="ListBullet"/>
      </w:pPr>
      <w:r>
        <w:t>CFMaDetailButtonBarConfiguration presents child groups as a text or icon button bar.</w:t>
      </w:r>
    </w:p>
    <w:p>
      <w:pPr>
        <w:pStyle w:val="ListBullet"/>
      </w:pPr>
      <w:r>
        <w:t>CFMaDetailGroupConfiguration controls label visibility and reserved accessory slots.</w:t>
      </w:r>
    </w:p>
    <w:p>
      <w:pPr>
        <w:pStyle w:val="Heading1"/>
      </w:pPr>
      <w:r>
        <w:t>Field presentation configuration</w:t>
      </w:r>
    </w:p>
    <w:p>
      <w:r>
        <w:t>CFMaFieldConfiguration carries renderer-independent Foundation field presentation intent. MADescription&gt;&gt;fieldConfigure: stores description-level configuration. During rendering, Foundation creates a field configuration, applies the description configuration and applies contextual presentation configuration.</w:t>
      </w:r>
    </w:p>
    <w:tbl>
      <w:tblPr>
        <w:tblStyle w:val="TableGrid"/>
        <w:tblW w:type="auto" w:w="0"/>
        <w:tblLook w:firstColumn="1" w:firstRow="1" w:lastColumn="0" w:lastRow="0" w:noHBand="0" w:noVBand="1" w:val="04A0"/>
      </w:tblPr>
      <w:tblGrid>
        <w:gridCol w:w="4939"/>
        <w:gridCol w:w="4939"/>
      </w:tblGrid>
      <w:tr>
        <w:tc>
          <w:tcPr>
            <w:tcW w:type="dxa" w:w="4939"/>
          </w:tcPr>
          <w:p>
            <w:r>
              <w:rPr>
                <w:b/>
              </w:rPr>
              <w:t>Configuration message</w:t>
            </w:r>
          </w:p>
        </w:tc>
        <w:tc>
          <w:tcPr>
            <w:tcW w:type="dxa" w:w="4939"/>
          </w:tcPr>
          <w:p>
            <w:r>
              <w:rPr>
                <w:b/>
              </w:rPr>
              <w:t>Representation</w:t>
            </w:r>
          </w:p>
        </w:tc>
      </w:tr>
      <w:tr>
        <w:tc>
          <w:tcPr>
            <w:tcW w:type="dxa" w:w="4939"/>
          </w:tcPr>
          <w:p>
            <w:r>
              <w:t>beText</w:t>
            </w:r>
          </w:p>
        </w:tc>
        <w:tc>
          <w:tcPr>
            <w:tcW w:type="dxa" w:w="4939"/>
          </w:tcPr>
          <w:p>
            <w:r>
              <w:t>CFMaTextConfiguration</w:t>
            </w:r>
          </w:p>
        </w:tc>
      </w:tr>
      <w:tr>
        <w:tc>
          <w:tcPr>
            <w:tcW w:type="dxa" w:w="4939"/>
          </w:tcPr>
          <w:p>
            <w:r>
              <w:t>bePopup</w:t>
            </w:r>
          </w:p>
        </w:tc>
        <w:tc>
          <w:tcPr>
            <w:tcW w:type="dxa" w:w="4939"/>
          </w:tcPr>
          <w:p>
            <w:r>
              <w:t>CFMaPopupConfiguration</w:t>
            </w:r>
          </w:p>
        </w:tc>
      </w:tr>
      <w:tr>
        <w:tc>
          <w:tcPr>
            <w:tcW w:type="dxa" w:w="4939"/>
          </w:tcPr>
          <w:p>
            <w:r>
              <w:t>beColourPicker</w:t>
            </w:r>
          </w:p>
        </w:tc>
        <w:tc>
          <w:tcPr>
            <w:tcW w:type="dxa" w:w="4939"/>
          </w:tcPr>
          <w:p>
            <w:r>
              <w:t>CFMaColourPickerConfiguration</w:t>
            </w:r>
          </w:p>
        </w:tc>
      </w:tr>
      <w:tr>
        <w:tc>
          <w:tcPr>
            <w:tcW w:type="dxa" w:w="4939"/>
          </w:tcPr>
          <w:p>
            <w:r>
              <w:t>beSlider</w:t>
            </w:r>
          </w:p>
        </w:tc>
        <w:tc>
          <w:tcPr>
            <w:tcW w:type="dxa" w:w="4939"/>
          </w:tcPr>
          <w:p>
            <w:r>
              <w:t>CFMaSliderConfiguration</w:t>
            </w:r>
          </w:p>
        </w:tc>
      </w:tr>
      <w:tr>
        <w:tc>
          <w:tcPr>
            <w:tcW w:type="dxa" w:w="4939"/>
          </w:tcPr>
          <w:p>
            <w:r>
              <w:t>beList</w:t>
            </w:r>
          </w:p>
        </w:tc>
        <w:tc>
          <w:tcPr>
            <w:tcW w:type="dxa" w:w="4939"/>
          </w:tcPr>
          <w:p>
            <w:r>
              <w:t>CFMaListConfiguration</w:t>
            </w:r>
          </w:p>
        </w:tc>
      </w:tr>
      <w:tr>
        <w:tc>
          <w:tcPr>
            <w:tcW w:type="dxa" w:w="4939"/>
          </w:tcPr>
          <w:p>
            <w:r>
              <w:t>beEmbeddedForm</w:t>
            </w:r>
          </w:p>
        </w:tc>
        <w:tc>
          <w:tcPr>
            <w:tcW w:type="dxa" w:w="4939"/>
          </w:tcPr>
          <w:p>
            <w:r>
              <w:t>CFMaEmbeddedFormsConfiguration for a to-one relation</w:t>
            </w:r>
          </w:p>
        </w:tc>
      </w:tr>
      <w:tr>
        <w:tc>
          <w:tcPr>
            <w:tcW w:type="dxa" w:w="4939"/>
          </w:tcPr>
          <w:p>
            <w:r>
              <w:t>beEmbeddedForms</w:t>
            </w:r>
          </w:p>
        </w:tc>
        <w:tc>
          <w:tcPr>
            <w:tcW w:type="dxa" w:w="4939"/>
          </w:tcPr>
          <w:p>
            <w:r>
              <w:t>CFMaEmbeddedFormsConfiguration for a to-many relation</w:t>
            </w:r>
          </w:p>
        </w:tc>
      </w:tr>
    </w:tbl>
    <w:p>
      <w:r>
        <w:t>CFMaFieldIconConfiguration configures field icon presentation independently of the field representation. Detail supplies the concrete controls and row composition for these configurations.</w:t>
      </w:r>
    </w:p>
    <w:p>
      <w:pPr>
        <w:pStyle w:val="Heading1"/>
      </w:pPr>
      <w:r>
        <w:t>Detail row language</w:t>
      </w:r>
    </w:p>
    <w:p>
      <w:r>
        <w:t>Detail presents scalar fields, actions and relation identities through one row/card language. CFMaDetailRowLayout and CFMaDetailRowLayoutConstraints own row geometry. Rows compose leading content, description text, supporting text, field content, accessories and trailing navigation.</w:t>
      </w:r>
    </w:p>
    <w:p>
      <w:pPr>
        <w:pStyle w:val="ListBullet"/>
      </w:pPr>
      <w:r>
        <w:t>Accessories align with the first text/editor baseline.</w:t>
      </w:r>
    </w:p>
    <w:p>
      <w:pPr>
        <w:pStyle w:val="ListBullet"/>
      </w:pPr>
      <w:r>
        <w:t>Relation navigation chevrons are vertically centred in the row.</w:t>
      </w:r>
    </w:p>
    <w:p>
      <w:pPr>
        <w:pStyle w:val="ListBullet"/>
      </w:pPr>
      <w:r>
        <w:t>Group cards maintain logical row order and separators.</w:t>
      </w:r>
    </w:p>
    <w:p>
      <w:pPr>
        <w:pStyle w:val="ListBullet"/>
      </w:pPr>
      <w:r>
        <w:t>Font Awesome supplies Foundation UI icons.</w:t>
      </w:r>
    </w:p>
    <w:p>
      <w:pPr>
        <w:pStyle w:val="ListBullet"/>
      </w:pPr>
      <w:r>
        <w:t>Form focus chrome is coordinated with nested editors through CFMaRowEditorAptitude.</w:t>
      </w:r>
    </w:p>
    <w:p>
      <w:pPr>
        <w:pStyle w:val="Heading1"/>
      </w:pPr>
      <w:r>
        <w:t>Relations</w:t>
      </w:r>
    </w:p>
    <w:p>
      <w:r>
        <w:t>Magritte relation descriptions remain the semantic relation model. List and embedded-form representations are selected through CFMaFieldConfiguration. Relation references describe the related object identity rendered by Foundation.</w:t>
      </w:r>
    </w:p>
    <w:p>
      <w:r>
        <w:t>List relations render related objects as peer Detail rows. To-one and to-many rows reconcile against current memento values while preserving row and child-memento identity where the related object identity survives.</w:t>
      </w:r>
    </w:p>
    <w:p>
      <w:r>
        <w:t>Embedded relations render each related object through its own normal Foundation presentation inside a stable CFMaPresentationHostElement. CFMaEmbeddedFormsConfiguration controls embedded presentation options including relation-row visibility and contextual presentation configuration.</w:t>
      </w:r>
    </w:p>
    <w:p>
      <w:pPr>
        <w:pStyle w:val="Heading1"/>
      </w:pPr>
      <w:r>
        <w:t>Relation interaction state</w:t>
      </w:r>
    </w:p>
    <w:p>
      <w:r>
        <w:t>CFMaDetailRelationContext holds presentation-local relation state for one relation description: selected rows, selection anchor, selectable rows, row-to-object mapping, focus rows, focus container and active state. CFMaDetailPresentation owns Bloc event wiring and visual state application.</w:t>
      </w:r>
    </w:p>
    <w:p>
      <w:r>
        <w:t>To-many list interaction supports exclusive selection, primary-modifier toggle selection, anchored range selection, select-all, multi-remove and ordered multi-row drag/reorder. Domain objects are resolved from the current row mapping before relation mutation.</w:t>
      </w:r>
    </w:p>
    <w:p>
      <w:pPr>
        <w:pStyle w:val="Heading1"/>
      </w:pPr>
      <w:r>
        <w:t>Relation creation and mutation</w:t>
      </w:r>
    </w:p>
    <w:p>
      <w:r>
        <w:t>Foundation writes relation changes through the Magritte memento path. CFMaBuilderUtility centralises relation addition, removal and reorder writes and preserves relation collection semantics.</w:t>
      </w:r>
    </w:p>
    <w:p>
      <w:r>
        <w:t>MAToOneRelationDescription and MAToManyRelationDescription support two creation contracts. newItemStencil: is the native GT zero-argument domain-item creation stencil. newItemClassStencil: is the Foundation class-aware creation stencil used when a relation offers a choice among allowed classes.</w:t>
      </w:r>
    </w:p>
    <w:p>
      <w:r>
        <w:t>CFMaAddItemViewModel and its to-one/detail specialisations own add-control state and item creation. Relation lifecycle hooks receive CFConfigurationContext where configuration objects participate in configuration graphs.</w:t>
      </w:r>
    </w:p>
    <w:p>
      <w:pPr>
        <w:pStyle w:val="Heading1"/>
      </w:pPr>
      <w:r>
        <w:t>Actions</w:t>
      </w:r>
    </w:p>
    <w:p>
      <w:r>
        <w:t>MAActionDescription supplies Foundation action metadata and action execution. Detail combines ordinary descriptions and form actions into presentation order and renders actions as ordinary Detail rows with a Foundation action button.</w:t>
      </w:r>
    </w:p>
    <w:p>
      <w:pPr>
        <w:pStyle w:val="Heading1"/>
      </w:pPr>
      <w:r>
        <w:t>Navigation</w:t>
      </w:r>
    </w:p>
    <w:p>
      <w:r>
        <w:t>CFMaPhlowNavigation centralises relation-object navigation through Phlow and GT Tree Pager. CFMaFormRootElement supplies the complete Foundation form traversal boundary. Relation rows invoke this shared navigation path while retaining their Detail selection and focus behaviour.</w:t>
      </w:r>
    </w:p>
    <w:p>
      <w:pPr>
        <w:pStyle w:val="Heading1"/>
      </w:pPr>
      <w:r>
        <w:t>Configuration graphs</w:t>
      </w:r>
    </w:p>
    <w:p>
      <w:r>
        <w:t>CFConfiguration is the labelled Foundation configuration node. Each configuration has an optional parent and can resolve its ancestor chain and root configuration. CFConfigurationContext carries the memento, relation description, operation kind and insertion index used by configuration relation lifecycle operations.</w:t>
      </w:r>
    </w:p>
    <w:p>
      <w:r>
        <w:t>CFConfigurationCodec serializes descriptions marked cfSerializable into a versioned STON representation. Nested CFConfiguration objects, class references, primitive values, collections and STON-literal values are encoded through the same representation.</w:t>
      </w:r>
    </w:p>
    <w:p>
      <w:pPr>
        <w:pStyle w:val="Heading1"/>
      </w:pPr>
      <w:r>
        <w:t>Configuration validation, library and planning</w:t>
      </w:r>
    </w:p>
    <w:p>
      <w:r>
        <w:t>CFConfigurationValidator combines Magritte validation with configuration-graph validation and returns CFConfigurationValidationResult containing structured errors and warnings.</w:t>
      </w:r>
    </w:p>
    <w:p>
      <w:r>
        <w:t>CFConfigurationLibrary stores CFConfigurationAsset instances. CFConfigurationAsset materializes a configuration; CFConfigurationMethodAsset materializes through its configured method-backed asset contract.</w:t>
      </w:r>
    </w:p>
    <w:p>
      <w:r>
        <w:t>CFConfigurationPlanner discovers compatible relation placements throughout a configuration graph, copies the graph for candidate assessment, applies candidate placements, validates the result and exposes valid CFConfigurationTargetChoice instances. CFConfigurationPlan re-assesses its target before applying the materialized asset.</w:t>
      </w:r>
    </w:p>
    <w:p>
      <w:pPr>
        <w:pStyle w:val="Heading1"/>
      </w:pPr>
      <w:r>
        <w:t>Composer and configuration editor</w:t>
      </w:r>
    </w:p>
    <w:p>
      <w:r>
        <w:t>BVC-Foundation-Composer supplies CFComposerElementBuilder, CFComposerFormController, CFComposerEditorViewModel and relation/form elements for interactive Magritte-driven composition.</w:t>
      </w:r>
    </w:p>
    <w:p>
      <w:r>
        <w:t>BVC-Foundation-Config-UI-ConfigurationEditor supplies the interactive configuration graph editor, relation and node elements, placement candidates, placement hysteresis and linear placement provider. BVC-Foundation-Config-UI-Core supplies the configuration-library sidebar.</w:t>
      </w:r>
    </w:p>
    <w:p>
      <w:pPr>
        <w:pStyle w:val="Heading1"/>
      </w:pPr>
      <w:r>
        <w:t>Theme and visual semantics</w:t>
      </w:r>
    </w:p>
    <w:p>
      <w:r>
        <w:t>Foundation UI reads semantic values from the active Bloc theme. Detail controls use semantic surface, interaction, border and text roles. CFGlassSurfaceAptitude provides the shared translucent surface treatment used by Foundation popup-style surfaces, while widget-specific aptitudes retain their own interaction and geometry responsibilities.</w:t>
      </w:r>
    </w:p>
    <w:p>
      <w:r>
        <w:t>Font Awesome is the Foundation icon vocabulary. CFIconTile, compact identity, field icons, relation controls and action affordances consume Font Awesome icon descriptions or stencils.</w:t>
      </w:r>
    </w:p>
    <w:p>
      <w:pPr>
        <w:pStyle w:val="Heading1"/>
      </w:pPr>
      <w:r>
        <w:t>Package groups and baseline</w:t>
      </w:r>
    </w:p>
    <w:tbl>
      <w:tblPr>
        <w:tblStyle w:val="TableGrid"/>
        <w:tblW w:type="auto" w:w="0"/>
        <w:tblLook w:firstColumn="1" w:firstRow="1" w:lastColumn="0" w:lastRow="0" w:noHBand="0" w:noVBand="1" w:val="04A0"/>
      </w:tblPr>
      <w:tblGrid>
        <w:gridCol w:w="4939"/>
        <w:gridCol w:w="4939"/>
      </w:tblGrid>
      <w:tr>
        <w:tc>
          <w:tcPr>
            <w:tcW w:type="dxa" w:w="4939"/>
          </w:tcPr>
          <w:p>
            <w:r>
              <w:rPr>
                <w:b/>
              </w:rPr>
              <w:t>Group</w:t>
            </w:r>
          </w:p>
        </w:tc>
        <w:tc>
          <w:tcPr>
            <w:tcW w:type="dxa" w:w="4939"/>
          </w:tcPr>
          <w:p>
            <w:r>
              <w:rPr>
                <w:b/>
              </w:rPr>
              <w:t>Contents</w:t>
            </w:r>
          </w:p>
        </w:tc>
      </w:tr>
      <w:tr>
        <w:tc>
          <w:tcPr>
            <w:tcW w:type="dxa" w:w="4939"/>
          </w:tcPr>
          <w:p>
            <w:r>
              <w:t>foundation-common</w:t>
            </w:r>
          </w:p>
        </w:tc>
        <w:tc>
          <w:tcPr>
            <w:tcW w:type="dxa" w:w="4939"/>
          </w:tcPr>
          <w:p>
            <w:r>
              <w:t>Foundation Core + Magritte Core + Config Core/Validation/Library/Planner/Examples</w:t>
            </w:r>
          </w:p>
        </w:tc>
      </w:tr>
      <w:tr>
        <w:tc>
          <w:tcPr>
            <w:tcW w:type="dxa" w:w="4939"/>
          </w:tcPr>
          <w:p>
            <w:r>
              <w:t>composer</w:t>
            </w:r>
          </w:p>
        </w:tc>
        <w:tc>
          <w:tcPr>
            <w:tcW w:type="dxa" w:w="4939"/>
          </w:tcPr>
          <w:p>
            <w:r>
              <w:t>BVC-Foundation-Composer</w:t>
            </w:r>
          </w:p>
        </w:tc>
      </w:tr>
      <w:tr>
        <w:tc>
          <w:tcPr>
            <w:tcW w:type="dxa" w:w="4939"/>
          </w:tcPr>
          <w:p>
            <w:r>
              <w:t>ui</w:t>
            </w:r>
          </w:p>
        </w:tc>
        <w:tc>
          <w:tcPr>
            <w:tcW w:type="dxa" w:w="4939"/>
          </w:tcPr>
          <w:p>
            <w:r>
              <w:t>Catalyst Motion + Catalyst Physics + Magritte GT + Magritte Detail + Composer + Magritte Seaside + Config UI</w:t>
            </w:r>
          </w:p>
        </w:tc>
      </w:tr>
      <w:tr>
        <w:tc>
          <w:tcPr>
            <w:tcW w:type="dxa" w:w="4939"/>
          </w:tcPr>
          <w:p>
            <w:r>
              <w:t>default</w:t>
            </w:r>
          </w:p>
        </w:tc>
        <w:tc>
          <w:tcPr>
            <w:tcW w:type="dxa" w:w="4939"/>
          </w:tcPr>
          <w:p>
            <w:r>
              <w:t>foundation-common + ui</w:t>
            </w:r>
          </w:p>
        </w:tc>
      </w:tr>
    </w:tbl>
    <w:p>
      <w:r>
        <w:t>BaselineOfCatalystFoundation defines the package graph. The Pharo UI group loads Catalyst Motion and Catalyst Physics as baselines and loads Gt4FontAwesome for Foundation Magritte GT.</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Catalyst Foundation - Architecture  |  Catalyst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97C8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Liberation Sans" w:hAnsi="Liberation Sans"/>
      <w:b w:val="0"/>
      <w:i/>
      <w:iCs/>
      <w:color w:val="197C8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ind w:left="317" w:right="173"/>
    </w:pPr>
    <w:rPr>
      <w:rFonts w:ascii="Liberation Mono" w:hAnsi="Liberation Mono"/>
      <w:color w:val="202A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