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Process Architecture</w:t>
      </w:r>
    </w:p>
    <w:p>
      <w:r>
        <w:rPr>
          <w:i/>
          <w:sz w:val="22"/>
        </w:rPr>
        <w:t>System ideals, semantic boundaries, marketplace model, execution architecture, and engineering direction</w:t>
      </w:r>
    </w:p>
    <w:p>
      <w:r>
        <w:t>Catalyst Process • Architecture / Engineering Documentation • 20 September 2026</w:t>
      </w:r>
    </w:p>
    <w:p/>
    <w:p>
      <w:pPr>
        <w:pStyle w:val="Heading1"/>
      </w:pPr>
      <w:r>
        <w:t>1. Purpose</w:t>
      </w:r>
    </w:p>
    <w:p>
      <w:r>
        <w:t>Catalyst Process is intended to be a BPMN-native business-process platform in which the same domain model can be designed, specialised, published, composed into marketplace products, deployed to tenants, and executed without introducing a second proprietary process language. The architecture deliberately separates BPMN meaning from editor presentation, source authoring, persistence mechanics, and distributed execution infrastructure.</w:t>
      </w:r>
    </w:p>
    <w:p>
      <w:r>
        <w:t>The central design goal is semantic integrity: BPMN concepts should retain their BPMN meaning from definition through execution. Catalyst-specific abstractions are introduced only where BPMN is intentionally silent—for example marketplace packaging, publication, tenant entitlement, deployment, implementation resolution, and execution-environment integration.</w:t>
      </w:r>
    </w:p>
    <w:p>
      <w:pPr>
        <w:pStyle w:val="Heading1"/>
      </w:pPr>
      <w:r>
        <w:t>2. Architectural ideals</w:t>
      </w:r>
    </w:p>
    <w:p>
      <w:pPr>
        <w:pStyle w:val="ListBullet"/>
      </w:pPr>
      <w:r>
        <w:t>Language is architecture. Names must describe the domain precisely and symmetrically. Suspend/Resume is the canonical lifecycle pair; cancellation of a subscription is not removal of a tenant.</w:t>
      </w:r>
    </w:p>
    <w:p>
      <w:pPr>
        <w:pStyle w:val="ListBullet"/>
      </w:pPr>
      <w:r>
        <w:t>BPMN is the process language. Exhaust normative BPMN concepts and semantics before adding Catalyst concepts.</w:t>
      </w:r>
    </w:p>
    <w:p>
      <w:pPr>
        <w:pStyle w:val="ListBullet"/>
      </w:pPr>
      <w:r>
        <w:t>One semantic authority. The Process execution layer owns BPMN lifecycle and control-flow decisions. Runtime infrastructure must never independently advance BPMN state.</w:t>
      </w:r>
    </w:p>
    <w:p>
      <w:pPr>
        <w:pStyle w:val="ListBullet"/>
      </w:pPr>
      <w:r>
        <w:t>Ordinary domain objects first. BPMN definitions, executions, tenant objects, and business objects are normal Smalltalk objects; infrastructure should not leak into their model.</w:t>
      </w:r>
    </w:p>
    <w:p>
      <w:pPr>
        <w:pStyle w:val="ListBullet"/>
      </w:pPr>
      <w:r>
        <w:t>Explicit contracts over capability probing. Avoid respondsTo:, class switches used as compatibility mechanisms, and protocol-testing-before-use. Collaborators should share an explicit reliable contract.</w:t>
      </w:r>
    </w:p>
    <w:p>
      <w:pPr>
        <w:pStyle w:val="ListBullet"/>
      </w:pPr>
      <w:r>
        <w:t>Discoverable APIs over symbolic configuration. Avoid hidden symbol vocabularies; prefer explicit messages and domain objects.</w:t>
      </w:r>
    </w:p>
    <w:p>
      <w:pPr>
        <w:pStyle w:val="ListBullet"/>
      </w:pPr>
      <w:r>
        <w:t>Deterministic state transition before external effects. Accept an occurrence, validate it, perform deterministic BPMN consequences to a stable semantic state, commit, then dispatch external effects.</w:t>
      </w:r>
    </w:p>
    <w:p>
      <w:pPr>
        <w:pStyle w:val="ListBullet"/>
      </w:pPr>
      <w:r>
        <w:t>Persistence is not a BPMN concern. GemStone persistence is an execution environment property, not behavior embedded into BPMN model classes.</w:t>
      </w:r>
    </w:p>
    <w:p>
      <w:pPr>
        <w:pStyle w:val="ListBullet"/>
      </w:pPr>
      <w:r>
        <w:t>Design-time and runtime transactions are different. CFMaMemento is the design-time editing transaction; it is not runtime persistence.</w:t>
      </w:r>
    </w:p>
    <w:p>
      <w:pPr>
        <w:pStyle w:val="ListBullet"/>
      </w:pPr>
      <w:r>
        <w:t>Root-cause fixes over element-specific patches. New BPMN elements should participate through shared execution/editor abstractions rather than each requiring bespoke compensation code.</w:t>
      </w:r>
    </w:p>
    <w:p>
      <w:pPr>
        <w:pStyle w:val="Heading1"/>
      </w:pPr>
      <w:r>
        <w:t>3. Layered system</w:t>
      </w:r>
    </w:p>
    <w:tbl>
      <w:tblPr>
        <w:tblStyle w:val="TableGrid"/>
        <w:tblW w:type="auto" w:w="0"/>
        <w:tblLook w:firstColumn="1" w:firstRow="1" w:lastColumn="0" w:lastRow="0" w:noHBand="0" w:noVBand="1" w:val="04A0"/>
      </w:tblPr>
      <w:tblGrid>
        <w:gridCol w:w="5040"/>
        <w:gridCol w:w="5040"/>
      </w:tblGrid>
      <w:tr>
        <w:tc>
          <w:tcPr>
            <w:tcW w:type="dxa" w:w="5040"/>
            <w:shd w:fill="E7E6E6"/>
          </w:tcPr>
          <w:p>
            <w:r>
              <w:rPr>
                <w:b/>
              </w:rPr>
              <w:t>Layer</w:t>
            </w:r>
          </w:p>
        </w:tc>
        <w:tc>
          <w:tcPr>
            <w:tcW w:type="dxa" w:w="5040"/>
            <w:shd w:fill="E7E6E6"/>
          </w:tcPr>
          <w:p>
            <w:r>
              <w:rPr>
                <w:b/>
              </w:rPr>
              <w:t>Responsibility</w:t>
            </w:r>
          </w:p>
        </w:tc>
      </w:tr>
      <w:tr>
        <w:tc>
          <w:tcPr>
            <w:tcW w:type="dxa" w:w="5040"/>
          </w:tcPr>
          <w:p>
            <w:r>
              <w:t>BPMN domain</w:t>
            </w:r>
          </w:p>
        </w:tc>
        <w:tc>
          <w:tcPr>
            <w:tcW w:type="dxa" w:w="5040"/>
          </w:tcPr>
          <w:p>
            <w:r>
              <w:t>Normative process model: Definitions, Process, FlowNodes, Activities, Events, Gateways, SequenceFlows, data, resources, interfaces, operations and callable elements.</w:t>
            </w:r>
          </w:p>
        </w:tc>
      </w:tr>
      <w:tr>
        <w:tc>
          <w:tcPr>
            <w:tcW w:type="dxa" w:w="5040"/>
          </w:tcPr>
          <w:p>
            <w:r>
              <w:t>Process execution</w:t>
            </w:r>
          </w:p>
        </w:tc>
        <w:tc>
          <w:tcPr>
            <w:tcW w:type="dxa" w:w="5040"/>
          </w:tcPr>
          <w:p>
            <w:r>
              <w:t>Persistent semantic execution facts and BPMN operational semantics: scopes, activity lifecycle, control-flow activations, gateway/event execution, occurrences and nested execution.</w:t>
            </w:r>
          </w:p>
        </w:tc>
      </w:tr>
      <w:tr>
        <w:tc>
          <w:tcPr>
            <w:tcW w:type="dxa" w:w="5040"/>
          </w:tcPr>
          <w:p>
            <w:r>
              <w:t>Execution environment</w:t>
            </w:r>
          </w:p>
        </w:tc>
        <w:tc>
          <w:tcPr>
            <w:tcW w:type="dxa" w:w="5040"/>
          </w:tcPr>
          <w:p>
            <w:r>
              <w:t>Resolves the things BPMN names but does not implement: expressions, operations, resources, messages/correlation, timers, data stores, ItemDefinitions and called-process versions.</w:t>
            </w:r>
          </w:p>
        </w:tc>
      </w:tr>
      <w:tr>
        <w:tc>
          <w:tcPr>
            <w:tcW w:type="dxa" w:w="5040"/>
          </w:tcPr>
          <w:p>
            <w:r>
              <w:t>Catalyst Runtime</w:t>
            </w:r>
          </w:p>
        </w:tc>
        <w:tc>
          <w:tcPr>
            <w:tcW w:type="dxa" w:w="5040"/>
          </w:tcPr>
          <w:p>
            <w:r>
              <w:t>Execution substrate: workers, work units, routing, scheduling, clock, capabilities and deployment mechanics. It performs work; it does not own BPMN semantics.</w:t>
            </w:r>
          </w:p>
        </w:tc>
      </w:tr>
      <w:tr>
        <w:tc>
          <w:tcPr>
            <w:tcW w:type="dxa" w:w="5040"/>
          </w:tcPr>
          <w:p>
            <w:r>
              <w:t>Foundation / Magritte</w:t>
            </w:r>
          </w:p>
        </w:tc>
        <w:tc>
          <w:tcPr>
            <w:tcW w:type="dxa" w:w="5040"/>
          </w:tcPr>
          <w:p>
            <w:r>
              <w:t>Descriptions, relations, references, validation, observable editing values, mementos and presentation configuration.</w:t>
            </w:r>
          </w:p>
        </w:tc>
      </w:tr>
      <w:tr>
        <w:tc>
          <w:tcPr>
            <w:tcW w:type="dxa" w:w="5040"/>
          </w:tcPr>
          <w:p>
            <w:r>
              <w:t>Atelier</w:t>
            </w:r>
          </w:p>
        </w:tc>
        <w:tc>
          <w:tcPr>
            <w:tcW w:type="dxa" w:w="5040"/>
          </w:tcPr>
          <w:p>
            <w:r>
              <w:t>Semantic editing operations, assessments, palettes, direct manipulation, workspace orchestration and selection over the model.</w:t>
            </w:r>
          </w:p>
        </w:tc>
      </w:tr>
      <w:tr>
        <w:tc>
          <w:tcPr>
            <w:tcW w:type="dxa" w:w="5040"/>
          </w:tcPr>
          <w:p>
            <w:r>
              <w:t>Motion / Bloc / GT / Phlow</w:t>
            </w:r>
          </w:p>
        </w:tc>
        <w:tc>
          <w:tcPr>
            <w:tcW w:type="dxa" w:w="5040"/>
          </w:tcPr>
          <w:p>
            <w:r>
              <w:t>Visual projection, interaction, continuity/animation, navigation and tooling.</w:t>
            </w:r>
          </w:p>
        </w:tc>
      </w:tr>
      <w:tr>
        <w:tc>
          <w:tcPr>
            <w:tcW w:type="dxa" w:w="5040"/>
          </w:tcPr>
          <w:p>
            <w:r>
              <w:t>Marketplace</w:t>
            </w:r>
          </w:p>
        </w:tc>
        <w:tc>
          <w:tcPr>
            <w:tcW w:type="dxa" w:w="5040"/>
          </w:tcPr>
          <w:p>
            <w:r>
              <w:t>Publication, immutable versions, products/packages, listing, entitlement, tenant working definitions, composition and deployment.</w:t>
            </w:r>
          </w:p>
        </w:tc>
      </w:tr>
    </w:tbl>
    <w:p>
      <w:pPr>
        <w:pStyle w:val="Heading1"/>
      </w:pPr>
      <w:r>
        <w:t>4. BPMN domain model direction</w:t>
      </w:r>
    </w:p>
    <w:p>
      <w:r>
        <w:t>The domain model should remain recognisably BPMN. Catalyst should model the normative relationships directly rather than flattening them into generic task metadata. Recent work has expanded the model in this direction.</w:t>
      </w:r>
    </w:p>
    <w:p>
      <w:pPr>
        <w:pStyle w:val="ListBullet"/>
      </w:pPr>
      <w:r>
        <w:t>Expressions: CPExpression and CPFormalExpression, including SequenceFlow conditionExpression and gateway defaults.</w:t>
      </w:r>
    </w:p>
    <w:p>
      <w:pPr>
        <w:pStyle w:val="ListBullet"/>
      </w:pPr>
      <w:r>
        <w:t>Activity contract: lifecycle quantities, default flow, loopCharacteristics, compensation flag, IO specification, properties, data associations and resources.</w:t>
      </w:r>
    </w:p>
    <w:p>
      <w:pPr>
        <w:pStyle w:val="ListBullet"/>
      </w:pPr>
      <w:r>
        <w:t>Loops: standard and multi-instance loop characteristics, including cardinality, collection/data-item relationships and completion conditions.</w:t>
      </w:r>
    </w:p>
    <w:p>
      <w:pPr>
        <w:pStyle w:val="ListBullet"/>
      </w:pPr>
      <w:r>
        <w:t>Service contract: Interface, Operation, Message/Error relationships and ServiceTask operationRef/implementation.</w:t>
      </w:r>
    </w:p>
    <w:p>
      <w:pPr>
        <w:pStyle w:val="ListBullet"/>
      </w:pPr>
      <w:r>
        <w:t>Resources: BPMN resource/resource-role structures rather than ad-hoc assignee metadata.</w:t>
      </w:r>
    </w:p>
    <w:p>
      <w:pPr>
        <w:pStyle w:val="ListBullet"/>
      </w:pPr>
      <w:r>
        <w:t>User Task: implementation and renderings.</w:t>
      </w:r>
    </w:p>
    <w:p>
      <w:pPr>
        <w:pStyle w:val="ListBullet"/>
      </w:pPr>
      <w:r>
        <w:t>Messaging: SendTask, ReceiveTask and message event-definition references.</w:t>
      </w:r>
    </w:p>
    <w:p>
      <w:pPr>
        <w:pStyle w:val="ListBullet"/>
      </w:pPr>
      <w:r>
        <w:t>Event definitions: timer, conditional, error, escalation, signal and compensation families.</w:t>
      </w:r>
    </w:p>
    <w:p>
      <w:pPr>
        <w:pStyle w:val="ListBullet"/>
      </w:pPr>
      <w:r>
        <w:t>Gateways: parallel, exclusive, inclusive, complex and event-based contracts.</w:t>
      </w:r>
    </w:p>
    <w:p>
      <w:pPr>
        <w:pStyle w:val="ListBullet"/>
      </w:pPr>
      <w:r>
        <w:t>CallableElement / CallActivity: Process as a callable element, with CallActivity referencing a callable definition.</w:t>
      </w:r>
    </w:p>
    <w:p>
      <w:pPr>
        <w:pStyle w:val="Heading1"/>
      </w:pPr>
      <w:r>
        <w:t>5. Source-authored definitions and specialisation</w:t>
      </w:r>
    </w:p>
    <w:p>
      <w:r>
        <w:t>Catalyst supports source-authored CPDefinitions as a bootstrap and product-authoring mechanism. Source materialisation must yield ordinary BPMN domain objects; the source layer is not a parallel semantic model.</w:t>
      </w:r>
    </w:p>
    <w:p>
      <w:pPr>
        <w:pStyle w:val="ListBullet"/>
      </w:pPr>
      <w:r>
        <w:t>One source class represents one coherent CPDefinitions package, not an entire marketplace, tenant or deployment.</w:t>
      </w:r>
    </w:p>
    <w:p>
      <w:pPr>
        <w:pStyle w:val="ListBullet"/>
      </w:pPr>
      <w:r>
        <w:t>Stable Process identity is explicit via &lt;process: #id&gt;; a method selector is not domain identity.</w:t>
      </w:r>
    </w:p>
    <w:p>
      <w:pPr>
        <w:pStyle w:val="ListBullet"/>
      </w:pPr>
      <w:r>
        <w:t>Diagram identity is independent via &lt;diagram: #id process: #processId&gt;; layout may specialise without specialising the Process.</w:t>
      </w:r>
    </w:p>
    <w:p>
      <w:pPr>
        <w:pStyle w:val="ListBullet"/>
      </w:pPr>
      <w:r>
        <w:t>Smalltalk class lineage is the preferred source-level representation of specialisation: inherited contributions remain inherited; local changes express differences.</w:t>
      </w:r>
    </w:p>
    <w:p>
      <w:pPr>
        <w:pStyle w:val="ListBullet"/>
      </w:pPr>
      <w:r>
        <w:t>CPDefinitions remains the editing/transaction root. Opening a Process in Atelier is a view/session over that Definitions-rooted transaction, not a change of transaction root.</w:t>
      </w:r>
    </w:p>
    <w:p>
      <w:pPr>
        <w:pStyle w:val="ListBullet"/>
      </w:pPr>
      <w:r>
        <w:t>CPDefinitionsSourceMemento is the source-backed transaction. commit is the sole save boundary: validate, write source contributions, then perform the normal Foundation commit.</w:t>
      </w:r>
    </w:p>
    <w:p>
      <w:pPr>
        <w:pStyle w:val="ListBullet"/>
      </w:pPr>
      <w:r>
        <w:t>Published versions are immutable self-contained effective snapshots. A new published version is not a subclass of the previous published version.</w:t>
      </w:r>
    </w:p>
    <w:p>
      <w:pPr>
        <w:pStyle w:val="Heading1"/>
      </w:pPr>
      <w:r>
        <w:t>6. Marketplace architecture</w:t>
      </w:r>
    </w:p>
    <w:p>
      <w:r>
        <w:t>The marketplace sits above BPMN. BPMN describes executable business behavior; marketplace concepts describe how coherent business capabilities are packaged, published, licensed, specialised and deployed.</w:t>
      </w:r>
    </w:p>
    <w:tbl>
      <w:tblPr>
        <w:tblStyle w:val="TableGrid"/>
        <w:tblW w:type="auto" w:w="0"/>
        <w:tblLook w:firstColumn="1" w:firstRow="1" w:lastColumn="0" w:lastRow="0" w:noHBand="0" w:noVBand="1" w:val="04A0"/>
      </w:tblPr>
      <w:tblGrid>
        <w:gridCol w:w="5040"/>
        <w:gridCol w:w="5040"/>
      </w:tblGrid>
      <w:tr>
        <w:tc>
          <w:tcPr>
            <w:tcW w:type="dxa" w:w="5040"/>
            <w:shd w:fill="E7E6E6"/>
          </w:tcPr>
          <w:p>
            <w:r>
              <w:rPr>
                <w:b/>
              </w:rPr>
              <w:t>Concept</w:t>
            </w:r>
          </w:p>
        </w:tc>
        <w:tc>
          <w:tcPr>
            <w:tcW w:type="dxa" w:w="5040"/>
            <w:shd w:fill="E7E6E6"/>
          </w:tcPr>
          <w:p>
            <w:r>
              <w:rPr>
                <w:b/>
              </w:rPr>
              <w:t>Meaning</w:t>
            </w:r>
          </w:p>
        </w:tc>
      </w:tr>
      <w:tr>
        <w:tc>
          <w:tcPr>
            <w:tcW w:type="dxa" w:w="5040"/>
          </w:tcPr>
          <w:p>
            <w:r>
              <w:t>Definition source</w:t>
            </w:r>
          </w:p>
        </w:tc>
        <w:tc>
          <w:tcPr>
            <w:tcW w:type="dxa" w:w="5040"/>
          </w:tcPr>
          <w:p>
            <w:r>
              <w:t>Editable/source-authored CPDefinitions lineage used to create a coherent model package.</w:t>
            </w:r>
          </w:p>
        </w:tc>
      </w:tr>
      <w:tr>
        <w:tc>
          <w:tcPr>
            <w:tcW w:type="dxa" w:w="5040"/>
          </w:tcPr>
          <w:p>
            <w:r>
              <w:t>Published Definition Version</w:t>
            </w:r>
          </w:p>
        </w:tc>
        <w:tc>
          <w:tcPr>
            <w:tcW w:type="dxa" w:w="5040"/>
          </w:tcPr>
          <w:p>
            <w:r>
              <w:t>Immutable, self-contained effective snapshot suitable for repeatable deployment and audit.</w:t>
            </w:r>
          </w:p>
        </w:tc>
      </w:tr>
      <w:tr>
        <w:tc>
          <w:tcPr>
            <w:tcW w:type="dxa" w:w="5040"/>
          </w:tcPr>
          <w:p>
            <w:r>
              <w:t>Product / package</w:t>
            </w:r>
          </w:p>
        </w:tc>
        <w:tc>
          <w:tcPr>
            <w:tcW w:type="dxa" w:w="5040"/>
          </w:tcPr>
          <w:p>
            <w:r>
              <w:t>A composable marketplace offering containing one or more Definitions-level packages/processes plus related implementation/resources/configuration.</w:t>
            </w:r>
          </w:p>
        </w:tc>
      </w:tr>
      <w:tr>
        <w:tc>
          <w:tcPr>
            <w:tcW w:type="dxa" w:w="5040"/>
          </w:tcPr>
          <w:p>
            <w:r>
              <w:t>Listing / offering</w:t>
            </w:r>
          </w:p>
        </w:tc>
        <w:tc>
          <w:tcPr>
            <w:tcW w:type="dxa" w:w="5040"/>
          </w:tcPr>
          <w:p>
            <w:r>
              <w:t>Commercial/catalog presentation of a published product. Publication and listing are distinct lifecycle steps.</w:t>
            </w:r>
          </w:p>
        </w:tc>
      </w:tr>
      <w:tr>
        <w:tc>
          <w:tcPr>
            <w:tcW w:type="dxa" w:w="5040"/>
          </w:tcPr>
          <w:p>
            <w:r>
              <w:t>Entitlement</w:t>
            </w:r>
          </w:p>
        </w:tc>
        <w:tc>
          <w:tcPr>
            <w:tcW w:type="dxa" w:w="5040"/>
          </w:tcPr>
          <w:p>
            <w:r>
              <w:t>Tenant authorization to use a product/process. The global catalog can be visible while execution/use remains authorized.</w:t>
            </w:r>
          </w:p>
        </w:tc>
      </w:tr>
      <w:tr>
        <w:tc>
          <w:tcPr>
            <w:tcW w:type="dxa" w:w="5040"/>
          </w:tcPr>
          <w:p>
            <w:r>
              <w:t>Tenant working Definition</w:t>
            </w:r>
          </w:p>
        </w:tc>
        <w:tc>
          <w:tcPr>
            <w:tcW w:type="dxa" w:w="5040"/>
          </w:tcPr>
          <w:p>
            <w:r>
              <w:t>Mutable specialisation derived from an authorized immutable source/version; only differences are local and inherited content can be reverted.</w:t>
            </w:r>
          </w:p>
        </w:tc>
      </w:tr>
      <w:tr>
        <w:tc>
          <w:tcPr>
            <w:tcW w:type="dxa" w:w="5040"/>
          </w:tcPr>
          <w:p>
            <w:r>
              <w:t>Release / deployment</w:t>
            </w:r>
          </w:p>
        </w:tc>
        <w:tc>
          <w:tcPr>
            <w:tcW w:type="dxa" w:w="5040"/>
          </w:tcPr>
          <w:p>
            <w:r>
              <w:t>Operational selection of immutable model/implementation versions. Running instances remain attached to the release/version with which they began.</w:t>
            </w:r>
          </w:p>
        </w:tc>
      </w:tr>
    </w:tbl>
    <w:p>
      <w:r>
        <w:t>The intended lifecycle is: Save → Publish → List/Offer → Deploy. These verbs should remain distinct because they represent different architectural commitments.</w:t>
      </w:r>
    </w:p>
    <w:p>
      <w:pPr>
        <w:pStyle w:val="Heading1"/>
      </w:pPr>
      <w:r>
        <w:t>7. First marketplace business model: Tenant Lifecycle</w:t>
      </w:r>
    </w:p>
    <w:p>
      <w:r>
        <w:t>The first marketplace Definition is intended to model the lifecycle of tenants in the Catalyst system. It is both a useful real product and a forcing function for the architecture: it exercises process composition, subscription state, timers, external work, human/system interactions, publication and tenant deployment.</w:t>
      </w:r>
    </w:p>
    <w:p>
      <w:pPr>
        <w:pStyle w:val="ListBullet"/>
      </w:pPr>
      <w:r>
        <w:t>Operational tenant state includes Active, Suspended and Removed. Suspend and Resume are inverse lifecycle operations. Removal ends the tenant.</w:t>
      </w:r>
    </w:p>
    <w:p>
      <w:pPr>
        <w:pStyle w:val="ListBullet"/>
      </w:pPr>
      <w:r>
        <w:t>Commercial onboarding begins in Trial. A trial that does not convert enters a Grace period. During Grace the tenant either upgrades to a paid account or is removed after the grace period.</w:t>
      </w:r>
    </w:p>
    <w:p>
      <w:pPr>
        <w:pStyle w:val="ListBullet"/>
      </w:pPr>
      <w:r>
        <w:t>Subscription cancellation and tenant removal are different concepts and must remain different in the model.</w:t>
      </w:r>
    </w:p>
    <w:p>
      <w:pPr>
        <w:pStyle w:val="ListBullet"/>
      </w:pPr>
      <w:r>
        <w:t>Processes already identified include provisionTenant, startSubscription, changeSubscription, renewSubscription, recoverPayment, cancelSubscription, suspendTenant, resumeTenant and removeTenant.</w:t>
      </w:r>
    </w:p>
    <w:p>
      <w:pPr>
        <w:pStyle w:val="ListBullet"/>
      </w:pPr>
      <w:r>
        <w:t>Trial and Grace are commercial/time behavior. They need not be forced into callable process operations merely to mirror every state transition.</w:t>
      </w:r>
    </w:p>
    <w:p>
      <w:pPr>
        <w:pStyle w:val="Heading1"/>
      </w:pPr>
      <w:r>
        <w:t>8. Runtime execution architecture</w:t>
      </w:r>
    </w:p>
    <w:p>
      <w:r>
        <w:t>The current execution work establishes a new BVC-BPM-Execution semantic kernel. This layer should be read as the persistent BPMN execution model. It is intentionally distinct from older runtime/token machinery and from Catalyst Runtime.</w:t>
      </w:r>
    </w:p>
    <w:p>
      <w:pPr>
        <w:pStyle w:val="Heading2"/>
      </w:pPr>
      <w:r>
        <w:t>8.1 Persistent execution facts</w:t>
      </w:r>
    </w:p>
    <w:p>
      <w:pPr>
        <w:pStyle w:val="ListBullet"/>
      </w:pPr>
      <w:r>
        <w:t>CPProcessExecution is the root execution scope for a Process and carries deployment, tenant and startedBy context.</w:t>
      </w:r>
    </w:p>
    <w:p>
      <w:pPr>
        <w:pStyle w:val="ListBullet"/>
      </w:pPr>
      <w:r>
        <w:t>CPExecutionScope owns child scopes, Activity executions, Gateway executions, Event executions, SequenceFlow activations and accepted occurrences.</w:t>
      </w:r>
    </w:p>
    <w:p>
      <w:pPr>
        <w:pStyle w:val="ListBullet"/>
      </w:pPr>
      <w:r>
        <w:t>CPActivityExecution owns its BPMN Activity definition, parent scope, optional nested scope, consumed control-flow activations and lifecycle state.</w:t>
      </w:r>
    </w:p>
    <w:p>
      <w:pPr>
        <w:pStyle w:val="ListBullet"/>
      </w:pPr>
      <w:r>
        <w:t>CPSequenceFlowActivation is the persistent fact that a particular SequenceFlow currently carries available control. It is produced once and consumed at most once.</w:t>
      </w:r>
    </w:p>
    <w:p>
      <w:pPr>
        <w:pStyle w:val="ListBullet"/>
      </w:pPr>
      <w:r>
        <w:t>CPExecutionOccurrence represents an external or semantic occurrence with a stable occurrence identifier; scopes reject duplicate acceptance.</w:t>
      </w:r>
    </w:p>
    <w:p>
      <w:pPr>
        <w:pStyle w:val="ListBullet"/>
      </w:pPr>
      <w:r>
        <w:t>Specialised execution objects record Gateway, Event, Event-Based Gateway subscription, Intermediate Catch/Throw and Boundary Event state.</w:t>
      </w:r>
    </w:p>
    <w:p>
      <w:pPr>
        <w:pStyle w:val="Heading2"/>
      </w:pPr>
      <w:r>
        <w:t>8.2 Activity lifecycle</w:t>
      </w:r>
    </w:p>
    <w:p>
      <w:r>
        <w:t>Activity execution follows explicit BPMN lifecycle states rather than a single completed flag: Ready, Active, Completing, Completed, Failing, Failed, Terminating, Terminated and Withdrawn. Transition methods enforce legal movement between states.</w:t>
      </w:r>
    </w:p>
    <w:p>
      <w:pPr>
        <w:pStyle w:val="Heading2"/>
      </w:pPr>
      <w:r>
        <w:t>8.3 Control flow</w:t>
      </w:r>
    </w:p>
    <w:p>
      <w:r>
        <w:t>Control flow is represented by CPSequenceFlowActivation, not by a transient graph walker. A scope creates activations, flow-node executions consume them, and completed Activities produce outgoing activations according to completionQuantity. This makes the semantic state durable and inspectable.</w:t>
      </w:r>
    </w:p>
    <w:p>
      <w:pPr>
        <w:pStyle w:val="Heading2"/>
      </w:pPr>
      <w:r>
        <w:t>8.4 Gateways</w:t>
      </w:r>
    </w:p>
    <w:p>
      <w:pPr>
        <w:pStyle w:val="ListBullet"/>
      </w:pPr>
      <w:r>
        <w:t>Parallel Gateway: requires at least one available activation on every incoming flow, consumes exactly one from each, leaves excess activations, and produces one on every outgoing flow.</w:t>
      </w:r>
    </w:p>
    <w:p>
      <w:pPr>
        <w:pStyle w:val="ListBullet"/>
      </w:pPr>
      <w:r>
        <w:t>Exclusive Gateway: each arriving activation independently activates the gateway; outgoing conditions are evaluated in model order, first true wins, otherwise default, otherwise an execution error.</w:t>
      </w:r>
    </w:p>
    <w:p>
      <w:pPr>
        <w:pStyle w:val="ListBullet"/>
      </w:pPr>
      <w:r>
        <w:t>Inclusive Gateway: kept separate because join activation requires non-local reachability reasoning; it must not be approximated as 'any incoming' or 'all incoming'.</w:t>
      </w:r>
    </w:p>
    <w:p>
      <w:pPr>
        <w:pStyle w:val="ListBullet"/>
      </w:pPr>
      <w:r>
        <w:t>Event-Based Gateway: represented as persistent competing subscriptions. Exclusive races withdraw the alternatives when one subscription wins. Instantiating Parallel Event-Based behavior is a Process-instantiation concern and has different completion obligations.</w:t>
      </w:r>
    </w:p>
    <w:p>
      <w:pPr>
        <w:pStyle w:val="Heading2"/>
      </w:pPr>
      <w:r>
        <w:t>8.5 Events and nested scopes</w:t>
      </w:r>
    </w:p>
    <w:p>
      <w:pPr>
        <w:pStyle w:val="ListBullet"/>
      </w:pPr>
      <w:r>
        <w:t>Start and End Event execution is represented explicitly; End Events consume arriving control and do not emit normal outgoing SequenceFlow control.</w:t>
      </w:r>
    </w:p>
    <w:p>
      <w:pPr>
        <w:pStyle w:val="ListBullet"/>
      </w:pPr>
      <w:r>
        <w:t>Intermediate Catch execution waits for and consumes an occurrence before continuing.</w:t>
      </w:r>
    </w:p>
    <w:p>
      <w:pPr>
        <w:pStyle w:val="ListBullet"/>
      </w:pPr>
      <w:r>
        <w:t>Intermediate Throw execution performs its semantic consequence and continues control.</w:t>
      </w:r>
    </w:p>
    <w:p>
      <w:pPr>
        <w:pStyle w:val="ListBullet"/>
      </w:pPr>
      <w:r>
        <w:t>Boundary Event execution is attached to an active Activity execution. Interrupting boundary events terminate or fail the Activity as appropriate; non-interrupting events leave it active while producing boundary control flow.</w:t>
      </w:r>
    </w:p>
    <w:p>
      <w:pPr>
        <w:pStyle w:val="ListBullet"/>
      </w:pPr>
      <w:r>
        <w:t>Sub-Process execution owns a child CPExecutionScope. Completion is permitted only when nested control flow has been consumed and no nested Activity remains active; successful completion then continues the parent control flow.</w:t>
      </w:r>
    </w:p>
    <w:p>
      <w:pPr>
        <w:pStyle w:val="ListBullet"/>
      </w:pPr>
      <w:r>
        <w:t>Call Activity is intended to use the same nested-scope discipline while resolving a separate callable Process/version rather than an embedded SubProcess definition.</w:t>
      </w:r>
    </w:p>
    <w:p>
      <w:pPr>
        <w:pStyle w:val="Heading1"/>
      </w:pPr>
      <w:r>
        <w:t>9. Execution environment and external work</w:t>
      </w:r>
    </w:p>
    <w:p>
      <w:r>
        <w:t>BPMN semantics alone do not determine how domain data, expressions, services or resources are implemented. That is the role of an explicit execution environment boundary. This boundary should be typed and discoverable rather than a collection of symbol-dispatched hooks.</w:t>
      </w:r>
    </w:p>
    <w:tbl>
      <w:tblPr>
        <w:tblStyle w:val="TableGrid"/>
        <w:tblW w:type="auto" w:w="0"/>
        <w:tblLook w:firstColumn="1" w:firstRow="1" w:lastColumn="0" w:lastRow="0" w:noHBand="0" w:noVBand="1" w:val="04A0"/>
      </w:tblPr>
      <w:tblGrid>
        <w:gridCol w:w="5040"/>
        <w:gridCol w:w="5040"/>
      </w:tblGrid>
      <w:tr>
        <w:tc>
          <w:tcPr>
            <w:tcW w:type="dxa" w:w="5040"/>
            <w:shd w:fill="E7E6E6"/>
          </w:tcPr>
          <w:p>
            <w:r>
              <w:rPr>
                <w:b/>
              </w:rPr>
              <w:t>BPMN concept</w:t>
            </w:r>
          </w:p>
        </w:tc>
        <w:tc>
          <w:tcPr>
            <w:tcW w:type="dxa" w:w="5040"/>
            <w:shd w:fill="E7E6E6"/>
          </w:tcPr>
          <w:p>
            <w:r>
              <w:rPr>
                <w:b/>
              </w:rPr>
              <w:t>Environment responsibility</w:t>
            </w:r>
          </w:p>
        </w:tc>
      </w:tr>
      <w:tr>
        <w:tc>
          <w:tcPr>
            <w:tcW w:type="dxa" w:w="5040"/>
          </w:tcPr>
          <w:p>
            <w:r>
              <w:t>ItemDefinition</w:t>
            </w:r>
          </w:p>
        </w:tc>
        <w:tc>
          <w:tcPr>
            <w:tcW w:type="dxa" w:w="5040"/>
          </w:tcPr>
          <w:p>
            <w:r>
              <w:t>Interpret domain structure/type.</w:t>
            </w:r>
          </w:p>
        </w:tc>
      </w:tr>
      <w:tr>
        <w:tc>
          <w:tcPr>
            <w:tcW w:type="dxa" w:w="5040"/>
          </w:tcPr>
          <w:p>
            <w:r>
              <w:t>DataStore</w:t>
            </w:r>
          </w:p>
        </w:tc>
        <w:tc>
          <w:tcPr>
            <w:tcW w:type="dxa" w:w="5040"/>
          </w:tcPr>
          <w:p>
            <w:r>
              <w:t>Resolve tenant-persistent data.</w:t>
            </w:r>
          </w:p>
        </w:tc>
      </w:tr>
      <w:tr>
        <w:tc>
          <w:tcPr>
            <w:tcW w:type="dxa" w:w="5040"/>
          </w:tcPr>
          <w:p>
            <w:r>
              <w:t>Operation</w:t>
            </w:r>
          </w:p>
        </w:tc>
        <w:tc>
          <w:tcPr>
            <w:tcW w:type="dxa" w:w="5040"/>
          </w:tcPr>
          <w:p>
            <w:r>
              <w:t>Resolve an implementation.</w:t>
            </w:r>
          </w:p>
        </w:tc>
      </w:tr>
      <w:tr>
        <w:tc>
          <w:tcPr>
            <w:tcW w:type="dxa" w:w="5040"/>
          </w:tcPr>
          <w:p>
            <w:r>
              <w:t>Expression</w:t>
            </w:r>
          </w:p>
        </w:tc>
        <w:tc>
          <w:tcPr>
            <w:tcW w:type="dxa" w:w="5040"/>
          </w:tcPr>
          <w:p>
            <w:r>
              <w:t>Evaluate in the execution/data context.</w:t>
            </w:r>
          </w:p>
        </w:tc>
      </w:tr>
      <w:tr>
        <w:tc>
          <w:tcPr>
            <w:tcW w:type="dxa" w:w="5040"/>
          </w:tcPr>
          <w:p>
            <w:r>
              <w:t>Resource / ResourceRole</w:t>
            </w:r>
          </w:p>
        </w:tc>
        <w:tc>
          <w:tcPr>
            <w:tcW w:type="dxa" w:w="5040"/>
          </w:tcPr>
          <w:p>
            <w:r>
              <w:t>Resolve users, groups or other resources.</w:t>
            </w:r>
          </w:p>
        </w:tc>
      </w:tr>
      <w:tr>
        <w:tc>
          <w:tcPr>
            <w:tcW w:type="dxa" w:w="5040"/>
          </w:tcPr>
          <w:p>
            <w:r>
              <w:t>Message + correlation</w:t>
            </w:r>
          </w:p>
        </w:tc>
        <w:tc>
          <w:tcPr>
            <w:tcW w:type="dxa" w:w="5040"/>
          </w:tcPr>
          <w:p>
            <w:r>
              <w:t>Deliver, subscribe and correlate occurrences.</w:t>
            </w:r>
          </w:p>
        </w:tc>
      </w:tr>
      <w:tr>
        <w:tc>
          <w:tcPr>
            <w:tcW w:type="dxa" w:w="5040"/>
          </w:tcPr>
          <w:p>
            <w:r>
              <w:t>Timer</w:t>
            </w:r>
          </w:p>
        </w:tc>
        <w:tc>
          <w:tcPr>
            <w:tcW w:type="dxa" w:w="5040"/>
          </w:tcPr>
          <w:p>
            <w:r>
              <w:t>Use a durable clock/scheduler.</w:t>
            </w:r>
          </w:p>
        </w:tc>
      </w:tr>
      <w:tr>
        <w:tc>
          <w:tcPr>
            <w:tcW w:type="dxa" w:w="5040"/>
          </w:tcPr>
          <w:p>
            <w:r>
              <w:t>CallActivity</w:t>
            </w:r>
          </w:p>
        </w:tc>
        <w:tc>
          <w:tcPr>
            <w:tcW w:type="dxa" w:w="5040"/>
          </w:tcPr>
          <w:p>
            <w:r>
              <w:t>Resolve the Process definition and immutable deployed version to execute.</w:t>
            </w:r>
          </w:p>
        </w:tc>
      </w:tr>
    </w:tbl>
    <w:p>
      <w:r>
        <w:t>Catalyst Runtime enters only after Process has resolved semantic intent. A BPMN Operation resolves to an implementation; that implementation may create Runtime Work Units and declare Runtime capabilities. Runtime completion is reported back as an occurrence/result. Runtime work must not mutate BPMN lifecycle directly.</w:t>
      </w:r>
    </w:p>
    <w:p>
      <w:pPr>
        <w:pStyle w:val="Heading1"/>
      </w:pPr>
      <w:r>
        <w:t>10. GemStone transaction model</w:t>
      </w:r>
    </w:p>
    <w:p>
      <w:r>
        <w:t>In GemStone, ordinary execution and business objects are persistent. The preferred transaction shape is therefore local and direct: BPMN state and tenant business state can change atomically when they reside in the same repository.</w:t>
      </w:r>
    </w:p>
    <w:p>
      <w:pPr>
        <w:pStyle w:val="ListNumber"/>
      </w:pPr>
      <w:r>
        <w:t>Receive or discover an occurrence.</w:t>
      </w:r>
    </w:p>
    <w:p>
      <w:pPr>
        <w:pStyle w:val="ListNumber"/>
      </w:pPr>
      <w:r>
        <w:t>Validate occurrence identity, correlation and applicability against current persistent execution state.</w:t>
      </w:r>
    </w:p>
    <w:p>
      <w:pPr>
        <w:pStyle w:val="ListNumber"/>
      </w:pPr>
      <w:r>
        <w:t>Apply the deterministic BPMN transition.</w:t>
      </w:r>
    </w:p>
    <w:p>
      <w:pPr>
        <w:pStyle w:val="ListNumber"/>
      </w:pPr>
      <w:r>
        <w:t>Exhaust immediate internal semantic consequences until the execution reaches a stable state.</w:t>
      </w:r>
    </w:p>
    <w:p>
      <w:pPr>
        <w:pStyle w:val="ListNumber"/>
      </w:pPr>
      <w:r>
        <w:t>Commit the GemStone transaction.</w:t>
      </w:r>
    </w:p>
    <w:p>
      <w:pPr>
        <w:pStyle w:val="ListNumber"/>
      </w:pPr>
      <w:r>
        <w:t>Only after the transaction boundary, derive/dispatch external intents that cannot participate in the local transaction.</w:t>
      </w:r>
    </w:p>
    <w:p>
      <w:r>
        <w:t>External effects require durable invocation identity, idempotency/reconciliation and duplicate-safe result acceptance. On a GemStone conflict, abort/reload and reevaluate whether the occurrence still applies; do not replay a precomputed mutation.</w:t>
      </w:r>
    </w:p>
    <w:p>
      <w:pPr>
        <w:pStyle w:val="Heading1"/>
      </w:pPr>
      <w:r>
        <w:t>11. Editor architecture</w:t>
      </w:r>
    </w:p>
    <w:p>
      <w:r>
        <w:t>Atelier is not a second process model. It is a Magritte-described editing projection over the same BPMN objects. Semantic operations should enter through shared Foundation/Atelier transaction mechanisms so diagram editing, inspectors, source-backed editing and future moldable views remain coherent.</w:t>
      </w:r>
    </w:p>
    <w:p>
      <w:pPr>
        <w:pStyle w:val="ListBullet"/>
      </w:pPr>
      <w:r>
        <w:t>CPDefinitions is the root editing object even when a Process is the current workspace focus.</w:t>
      </w:r>
    </w:p>
    <w:p>
      <w:pPr>
        <w:pStyle w:val="ListBullet"/>
      </w:pPr>
      <w:r>
        <w:t>Selection should identify only the item represented by the current workspace interaction.</w:t>
      </w:r>
    </w:p>
    <w:p>
      <w:pPr>
        <w:pStyle w:val="ListBullet"/>
      </w:pPr>
      <w:r>
        <w:t>DI objects (CPShape/CPEdge) are projection state; semantic BPMN relationships remain in the BPMN model.</w:t>
      </w:r>
    </w:p>
    <w:p>
      <w:pPr>
        <w:pStyle w:val="ListBullet"/>
      </w:pPr>
      <w:r>
        <w:t>Orientation/layout behavior belongs in projection/layout layers. Model elements and adornments should move through shared transforms rather than special cases.</w:t>
      </w:r>
    </w:p>
    <w:p>
      <w:pPr>
        <w:pStyle w:val="ListBullet"/>
      </w:pPr>
      <w:r>
        <w:t>Foundation owns generic editing/presentation infrastructure; Process owns BPMN-specific semantics and editing operations.</w:t>
      </w:r>
    </w:p>
    <w:p>
      <w:pPr>
        <w:pStyle w:val="Heading1"/>
      </w:pPr>
      <w:r>
        <w:t>12. Direction and architectural tests</w:t>
      </w:r>
    </w:p>
    <w:p>
      <w:r>
        <w:t>The following questions should be used as design tests for every new feature:</w:t>
      </w:r>
    </w:p>
    <w:p>
      <w:pPr>
        <w:pStyle w:val="ListBullet"/>
      </w:pPr>
      <w:r>
        <w:t>Is this already a BPMN concept? If yes, model the BPMN concept rather than inventing a Catalyst substitute.</w:t>
      </w:r>
    </w:p>
    <w:p>
      <w:pPr>
        <w:pStyle w:val="ListBullet"/>
      </w:pPr>
      <w:r>
        <w:t>Is this marketplace/deployment behavior rather than process behavior? If yes, keep it outside the BPMN domain.</w:t>
      </w:r>
    </w:p>
    <w:p>
      <w:pPr>
        <w:pStyle w:val="ListBullet"/>
      </w:pPr>
      <w:r>
        <w:t>Does Runtime need to know BPMN semantics to perform this? If yes, the boundary is probably wrong.</w:t>
      </w:r>
    </w:p>
    <w:p>
      <w:pPr>
        <w:pStyle w:val="ListBullet"/>
      </w:pPr>
      <w:r>
        <w:t>Does a BPMN domain object know GemStone mechanics? If yes, persistence has leaked into the model.</w:t>
      </w:r>
    </w:p>
    <w:p>
      <w:pPr>
        <w:pStyle w:val="ListBullet"/>
      </w:pPr>
      <w:r>
        <w:t>Does a caller probe a collaborator with respondsTo: or switch on classes? If yes, redesign the contract.</w:t>
      </w:r>
    </w:p>
    <w:p>
      <w:pPr>
        <w:pStyle w:val="ListBullet"/>
      </w:pPr>
      <w:r>
        <w:t>Does a new FlowNode need a one-off control-flow patch? If yes, find the missing shared execution abstraction.</w:t>
      </w:r>
    </w:p>
    <w:p>
      <w:pPr>
        <w:pStyle w:val="ListBullet"/>
      </w:pPr>
      <w:r>
        <w:t>Can an occurrence be accepted twice or an external result be applied twice? If yes, execution identity/idempotency is incomplete.</w:t>
      </w:r>
    </w:p>
    <w:p>
      <w:pPr>
        <w:pStyle w:val="ListBullet"/>
      </w:pPr>
      <w:r>
        <w:t>Can a published version change underneath a running instance? If yes, publication/release immutability is incomplete.</w:t>
      </w:r>
    </w:p>
    <w:p>
      <w:pPr>
        <w:pStyle w:val="ListBullet"/>
      </w:pPr>
      <w:r>
        <w:t>Are names describing different lifecycle concepts being collapsed together? If yes, fix the language before the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