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Catalyst Process Execution Sprint Handover</w:t>
      </w:r>
    </w:p>
    <w:p>
      <w:r>
        <w:rPr>
          <w:i/>
          <w:sz w:val="22"/>
        </w:rPr>
        <w:t>Current state, known-good baseline, active regression, next steps, sprint goal, and completion criteria</w:t>
      </w:r>
    </w:p>
    <w:p>
      <w:r>
        <w:t>Catalyst Process • Architecture / Engineering Documentation • 20 September 2026</w:t>
      </w:r>
    </w:p>
    <w:p/>
    <w:p>
      <w:pPr>
        <w:pStyle w:val="Heading1"/>
      </w:pPr>
      <w:r>
        <w:t>1. Handover purpose</w:t>
      </w:r>
    </w:p>
    <w:p>
      <w:r>
        <w:t>This document is the continuation point for the current Catalyst Process execution sprint. The sprint is building the BPMN execution kernel incrementally, with each semantic increment exercised through GT examples before moving to the next. The immediate objective is not a complete orchestration product; it is a coherent, persistent, BPMN-correct semantic kernel that can later be connected to the execution environment and Catalyst Runtime without changing ownership of BPMN semantics.</w:t>
      </w:r>
    </w:p>
    <w:p>
      <w:pPr>
        <w:pStyle w:val="Heading1"/>
      </w:pPr>
      <w:r>
        <w:t>2. Source/baseline status</w:t>
      </w:r>
    </w:p>
    <w:tbl>
      <w:tblPr>
        <w:tblStyle w:val="TableGrid"/>
        <w:tblW w:type="auto" w:w="0"/>
        <w:tblLook w:firstColumn="1" w:firstRow="1" w:lastColumn="0" w:lastRow="0" w:noHBand="0" w:noVBand="1" w:val="04A0"/>
      </w:tblPr>
      <w:tblGrid>
        <w:gridCol w:w="5040"/>
        <w:gridCol w:w="5040"/>
      </w:tblGrid>
      <w:tr>
        <w:tc>
          <w:tcPr>
            <w:tcW w:type="dxa" w:w="5040"/>
            <w:shd w:fill="E7E6E6"/>
          </w:tcPr>
          <w:p>
            <w:r>
              <w:rPr>
                <w:b/>
              </w:rPr>
              <w:t>Artifact</w:t>
            </w:r>
          </w:p>
        </w:tc>
        <w:tc>
          <w:tcPr>
            <w:tcW w:type="dxa" w:w="5040"/>
            <w:shd w:fill="E7E6E6"/>
          </w:tcPr>
          <w:p>
            <w:r>
              <w:rPr>
                <w:b/>
              </w:rPr>
              <w:t>Status / role</w:t>
            </w:r>
          </w:p>
        </w:tc>
      </w:tr>
      <w:tr>
        <w:tc>
          <w:tcPr>
            <w:tcW w:type="dxa" w:w="5040"/>
          </w:tcPr>
          <w:p>
            <w:r>
              <w:t>Process-Sep20-SubProcessExecution-02.zip</w:t>
            </w:r>
          </w:p>
        </w:tc>
        <w:tc>
          <w:tcPr>
            <w:tcW w:type="dxa" w:w="5040"/>
          </w:tcPr>
          <w:p>
            <w:r>
              <w:t>Last explicitly reported all-green execution archive.</w:t>
            </w:r>
          </w:p>
        </w:tc>
      </w:tr>
      <w:tr>
        <w:tc>
          <w:tcPr>
            <w:tcW w:type="dxa" w:w="5040"/>
          </w:tcPr>
          <w:p>
            <w:r>
              <w:t>Process-Sep20-CallActivityExecution-01.zip</w:t>
            </w:r>
          </w:p>
        </w:tc>
        <w:tc>
          <w:tcPr>
            <w:tcW w:type="dxa" w:w="5040"/>
          </w:tcPr>
          <w:p>
            <w:r>
              <w:t>Next increment; currently NOT green. One GT example reports two outgoing activations where exactly one is expected.</w:t>
            </w:r>
          </w:p>
        </w:tc>
      </w:tr>
      <w:tr>
        <w:tc>
          <w:tcPr>
            <w:tcW w:type="dxa" w:w="5040"/>
          </w:tcPr>
          <w:p>
            <w:r>
              <w:t>Process-Sep20-0000.zip</w:t>
            </w:r>
          </w:p>
        </w:tc>
        <w:tc>
          <w:tcPr>
            <w:tcW w:type="dxa" w:w="5040"/>
          </w:tcPr>
          <w:p>
            <w:r>
              <w:t>Current source snapshot supplied immediately before the SubProcessExecution-02 fix; useful as a grounded source baseline.</w:t>
            </w:r>
          </w:p>
        </w:tc>
      </w:tr>
      <w:tr>
        <w:tc>
          <w:tcPr>
            <w:tcW w:type="dxa" w:w="5040"/>
          </w:tcPr>
          <w:p>
            <w:r>
              <w:t>Foundation-Sep19-1400.zip</w:t>
            </w:r>
          </w:p>
        </w:tc>
        <w:tc>
          <w:tcPr>
            <w:tcW w:type="dxa" w:w="5040"/>
          </w:tcPr>
          <w:p>
            <w:r>
              <w:t>Foundation baseline relevant to Process/Atelier integration.</w:t>
            </w:r>
          </w:p>
        </w:tc>
      </w:tr>
      <w:tr>
        <w:tc>
          <w:tcPr>
            <w:tcW w:type="dxa" w:w="5040"/>
          </w:tcPr>
          <w:p>
            <w:r>
              <w:t>Runtime-Sep19-1510.zip</w:t>
            </w:r>
          </w:p>
        </w:tc>
        <w:tc>
          <w:tcPr>
            <w:tcW w:type="dxa" w:w="5040"/>
          </w:tcPr>
          <w:p>
            <w:r>
              <w:t>Catalyst Runtime baseline for later execution-environment integration.</w:t>
            </w:r>
          </w:p>
        </w:tc>
      </w:tr>
      <w:tr>
        <w:tc>
          <w:tcPr>
            <w:tcW w:type="dxa" w:w="5040"/>
          </w:tcPr>
          <w:p>
            <w:r>
              <w:t>formal-11-01-03.pdf</w:t>
            </w:r>
          </w:p>
        </w:tc>
        <w:tc>
          <w:tcPr>
            <w:tcW w:type="dxa" w:w="5040"/>
          </w:tcPr>
          <w:p>
            <w:r>
              <w:t>Local BPMN 2.0 specification used to ground operational semantics.</w:t>
            </w:r>
          </w:p>
        </w:tc>
      </w:tr>
      <w:tr>
        <w:tc>
          <w:tcPr>
            <w:tcW w:type="dxa" w:w="5040"/>
          </w:tcPr>
          <w:p>
            <w:r>
              <w:t>CATALYST-PROCESS-MARKETPLACE-SOURCE-HANDOVER-2026-09-19(1).md</w:t>
            </w:r>
          </w:p>
        </w:tc>
        <w:tc>
          <w:tcPr>
            <w:tcW w:type="dxa" w:w="5040"/>
          </w:tcPr>
          <w:p>
            <w:r>
              <w:t>Prior marketplace/source architecture handover.</w:t>
            </w:r>
          </w:p>
        </w:tc>
      </w:tr>
    </w:tbl>
    <w:p>
      <w:pPr>
        <w:pStyle w:val="Heading1"/>
      </w:pPr>
      <w:r>
        <w:t>3. What has been completed in this execution sprint</w:t>
      </w:r>
    </w:p>
    <w:p>
      <w:pPr>
        <w:pStyle w:val="ListBullet"/>
      </w:pPr>
      <w:r>
        <w:t>Execution kernel package introduced and loaded through the Process baseline.</w:t>
      </w:r>
    </w:p>
    <w:p>
      <w:pPr>
        <w:pStyle w:val="ListBullet"/>
      </w:pPr>
      <w:r>
        <w:t>Persistent Activity lifecycle state model implemented: Ready, Active, Completing, Completed, Failing, Failed, Terminating, Terminated, Withdrawn.</w:t>
      </w:r>
    </w:p>
    <w:p>
      <w:pPr>
        <w:pStyle w:val="ListBullet"/>
      </w:pPr>
      <w:r>
        <w:t>Execution scope ownership implemented: ProcessExecution → ActivityExecution → optional child ExecutionScope.</w:t>
      </w:r>
    </w:p>
    <w:p>
      <w:pPr>
        <w:pStyle w:val="ListBullet"/>
      </w:pPr>
      <w:r>
        <w:t>Persistent SequenceFlow activations implemented with single-consumption and same-scope invariants.</w:t>
      </w:r>
    </w:p>
    <w:p>
      <w:pPr>
        <w:pStyle w:val="ListBullet"/>
      </w:pPr>
      <w:r>
        <w:t>Activity startQuantity consumption and completionQuantity production implemented.</w:t>
      </w:r>
    </w:p>
    <w:p>
      <w:pPr>
        <w:pStyle w:val="ListBullet"/>
      </w:pPr>
      <w:r>
        <w:t>Parallel Gateway execution implemented.</w:t>
      </w:r>
    </w:p>
    <w:p>
      <w:pPr>
        <w:pStyle w:val="ListBullet"/>
      </w:pPr>
      <w:r>
        <w:t>Exclusive Gateway execution implemented.</w:t>
      </w:r>
    </w:p>
    <w:p>
      <w:pPr>
        <w:pStyle w:val="ListBullet"/>
      </w:pPr>
      <w:r>
        <w:t>Inclusive Gateway execution increment added and reported green.</w:t>
      </w:r>
    </w:p>
    <w:p>
      <w:pPr>
        <w:pStyle w:val="ListBullet"/>
      </w:pPr>
      <w:r>
        <w:t>Event-Based Gateway execution/subscription state added and reported green.</w:t>
      </w:r>
    </w:p>
    <w:p>
      <w:pPr>
        <w:pStyle w:val="ListBullet"/>
      </w:pPr>
      <w:r>
        <w:t>Start/End Event execution added and reported green.</w:t>
      </w:r>
    </w:p>
    <w:p>
      <w:pPr>
        <w:pStyle w:val="ListBullet"/>
      </w:pPr>
      <w:r>
        <w:t>Intermediate Catch Event execution added and reported green.</w:t>
      </w:r>
    </w:p>
    <w:p>
      <w:pPr>
        <w:pStyle w:val="ListBullet"/>
      </w:pPr>
      <w:r>
        <w:t>Intermediate Throw Event execution added and reported green.</w:t>
      </w:r>
    </w:p>
    <w:p>
      <w:pPr>
        <w:pStyle w:val="ListBullet"/>
      </w:pPr>
      <w:r>
        <w:t>Boundary Event execution added; initial duplicate-control regression fixed in BoundaryEventExecution-02 and reported green.</w:t>
      </w:r>
    </w:p>
    <w:p>
      <w:pPr>
        <w:pStyle w:val="ListBullet"/>
      </w:pPr>
      <w:r>
        <w:t>Sub-Process execution added; initial completion accounting bug fixed in SubProcessExecution-02 and reported green.</w:t>
      </w:r>
    </w:p>
    <w:p>
      <w:pPr>
        <w:pStyle w:val="ListBullet"/>
      </w:pPr>
      <w:r>
        <w:t>Call Activity execution was then attempted. This is the current red increment.</w:t>
      </w:r>
    </w:p>
    <w:p>
      <w:pPr>
        <w:pStyle w:val="Heading1"/>
      </w:pPr>
      <w:r>
        <w:t>4. Current execution model in source</w:t>
      </w:r>
    </w:p>
    <w:p>
      <w:r>
        <w:t>The supplied Process-Sep20-0000 snapshot contains BVC-BPM-Execution with CPExecutionScope, CPProcessExecution, CPActivityExecution, CPSequenceFlowActivation, CPExecutionOccurrence, Gateway/Event execution objects, Event-Based Gateway subscriptions, Intermediate Catch/Throw execution and Boundary Event execution. CPExecutionScope is the semantic aggregation point for persistent execution facts.</w:t>
      </w:r>
    </w:p>
    <w:p>
      <w:pPr>
        <w:pStyle w:val="ListBullet"/>
      </w:pPr>
      <w:r>
        <w:t>CPExecutionScope owns childScopes, activityExecutions, gatewayExecutions, eventExecutions, flowActivations and acceptedOccurrences.</w:t>
      </w:r>
    </w:p>
    <w:p>
      <w:pPr>
        <w:pStyle w:val="ListBullet"/>
      </w:pPr>
      <w:r>
        <w:t>CPActivityExecution owns definition, scope, optional subScope, consumedFlowActivations and lifecycle state.</w:t>
      </w:r>
    </w:p>
    <w:p>
      <w:pPr>
        <w:pStyle w:val="ListBullet"/>
      </w:pPr>
      <w:r>
        <w:t>CPSequenceFlowActivation records definition, scope, producedBy and consumedBy; isAvailable is derived from consumedBy being nil.</w:t>
      </w:r>
    </w:p>
    <w:p>
      <w:pPr>
        <w:pStyle w:val="ListBullet"/>
      </w:pPr>
      <w:r>
        <w:t>Occurrence acceptance is deduplicated by occurrenceIdentifier within the execution scope.</w:t>
      </w:r>
    </w:p>
    <w:p>
      <w:pPr>
        <w:pStyle w:val="ListBullet"/>
      </w:pPr>
      <w:r>
        <w:t>Boundary Event execution validates that the attached Activity is active and that the occurrence has already been accepted by the scope before triggering.</w:t>
      </w:r>
    </w:p>
    <w:p>
      <w:pPr>
        <w:pStyle w:val="ListBullet"/>
      </w:pPr>
      <w:r>
        <w:t>The new execution package coexists with older BVC-BPM-Runtime classes such as CPExecutionToken. Do not accidentally fold the new persistent semantic kernel back into the older token-walker design.</w:t>
      </w:r>
    </w:p>
    <w:p>
      <w:pPr>
        <w:pStyle w:val="Heading1"/>
      </w:pPr>
      <w:r>
        <w:t>5. Current failure: Call Activity</w:t>
      </w:r>
    </w:p>
    <w:p>
      <w:r>
        <w:t>The current failing GT example is completedCallActivityContinuesCallerControlFlow. The example expects exactly one available activation on the Call Activity's outgoing SequenceFlow after the called child scope has reached its End Event and the Call Activity completes. The observed result is 2 instead of 1.</w:t>
      </w:r>
    </w:p>
    <w:p>
      <w:r>
        <w:t>This is the same class of invariant that appeared during Boundary Event work: control flow must be produced by exactly one semantic owner. Do not fix the example or weaken the assertion. Find the two production paths and remove the duplicate at the architectural source.</w:t>
      </w:r>
    </w:p>
    <w:p>
      <w:pPr>
        <w:pStyle w:val="ListBullet"/>
      </w:pPr>
      <w:r>
        <w:t>Start from the exact CallActivityExecution-01 archive, not an older snapshot.</w:t>
      </w:r>
    </w:p>
    <w:p>
      <w:pPr>
        <w:pStyle w:val="ListBullet"/>
      </w:pPr>
      <w:r>
        <w:t>Trace every call to activateSequenceFlow:producedBy: for the caller's outgoing flow during Call Activity completion.</w:t>
      </w:r>
    </w:p>
    <w:p>
      <w:pPr>
        <w:pStyle w:val="ListBullet"/>
      </w:pPr>
      <w:r>
        <w:t>Compare Call Activity completion with the now-green Sub-Process completion path. Both should have one clear owner for parent continuation.</w:t>
      </w:r>
    </w:p>
    <w:p>
      <w:pPr>
        <w:pStyle w:val="ListBullet"/>
      </w:pPr>
      <w:r>
        <w:t>Check whether completeCallActivity: both explicitly produces outgoing control and invokes a generic Activity completion path that also produces it.</w:t>
      </w:r>
    </w:p>
    <w:p>
      <w:pPr>
        <w:pStyle w:val="ListBullet"/>
      </w:pPr>
      <w:r>
        <w:t>Preserve the invariant that a successfully completed Activity produces its normal outgoing control exactly once.</w:t>
      </w:r>
    </w:p>
    <w:p>
      <w:pPr>
        <w:pStyle w:val="ListBullet"/>
      </w:pPr>
      <w:r>
        <w:t>Add/retain a regression example that proves the called child scope can finish and the caller receives exactly one continuation activation.</w:t>
      </w:r>
    </w:p>
    <w:p>
      <w:pPr>
        <w:pStyle w:val="Heading1"/>
      </w:pPr>
      <w:r>
        <w:t>6. Important architectural caution: source lineage</w:t>
      </w:r>
    </w:p>
    <w:p>
      <w:r>
        <w:t>There was an earlier stale-base mistake: CallableElement-01 was created from an older Process archive rather than the then-current GatewayContracts baseline. Later execution archives may therefore contain lineage that needs verification. Before declaring the definition layer complete, compare the current branch against the known GatewayContracts/ActivityGateway/Expression work and rebase missing definition changes deliberately. Do not assume a green execution example proves that all prior definition work is present.</w:t>
      </w:r>
    </w:p>
    <w:p>
      <w:pPr>
        <w:pStyle w:val="Heading1"/>
      </w:pPr>
      <w:r>
        <w:t>7. Next implementation sequence</w:t>
      </w:r>
    </w:p>
    <w:p>
      <w:pPr>
        <w:pStyle w:val="ListNumber"/>
      </w:pPr>
      <w:r>
        <w:t>Fix Call Activity duplicate parent continuation and restore an all-green baseline.</w:t>
      </w:r>
    </w:p>
    <w:p>
      <w:pPr>
        <w:pStyle w:val="ListNumber"/>
      </w:pPr>
      <w:r>
        <w:t>Audit shared Activity completion so SubProcess, CallActivity and ordinary Activities all have one control-production rule.</w:t>
      </w:r>
    </w:p>
    <w:p>
      <w:pPr>
        <w:pStyle w:val="ListNumber"/>
      </w:pPr>
      <w:r>
        <w:t>Complete Call Activity semantic contract: called Process/version resolution belongs behind the execution-environment boundary; execution state should retain the resolved immutable definition/version needed by the instance.</w:t>
      </w:r>
    </w:p>
    <w:p>
      <w:pPr>
        <w:pStyle w:val="ListNumber"/>
      </w:pPr>
      <w:r>
        <w:t>Introduce the execution-environment protocol explicitly rather than continuing to pass ad-hoc evaluator blocks. Begin with Expression evaluation and called-Process resolution because existing execution code already exposes these seams.</w:t>
      </w:r>
    </w:p>
    <w:p>
      <w:pPr>
        <w:pStyle w:val="ListNumber"/>
      </w:pPr>
      <w:r>
        <w:t>Connect ServiceTask/Operation execution to the environment. Process resolves the BPMN Operation implementation; Runtime is used only if the implementation requires external/worker execution.</w:t>
      </w:r>
    </w:p>
    <w:p>
      <w:pPr>
        <w:pStyle w:val="ListNumber"/>
      </w:pPr>
      <w:r>
        <w:t>Implement durable external invocation/result identity so Runtime retries or duplicate results cannot advance BPMN state twice.</w:t>
      </w:r>
    </w:p>
    <w:p>
      <w:pPr>
        <w:pStyle w:val="ListNumber"/>
      </w:pPr>
      <w:r>
        <w:t>Implement Message/Receive/Timer waiting through the same occurrence/subscription model, including correlation and durable scheduling.</w:t>
      </w:r>
    </w:p>
    <w:p>
      <w:pPr>
        <w:pStyle w:val="ListNumber"/>
      </w:pPr>
      <w:r>
        <w:t>Complete Process instantiation semantics, including ordinary Start Events and instantiating Exclusive/Parallel Event-Based Gateways.</w:t>
      </w:r>
    </w:p>
    <w:p>
      <w:pPr>
        <w:pStyle w:val="ListNumber"/>
      </w:pPr>
      <w:r>
        <w:t>Add Process completion determination: no remaining control, no active Activities, plus any Parallel Event-Based instantiation obligations.</w:t>
      </w:r>
    </w:p>
    <w:p>
      <w:pPr>
        <w:pStyle w:val="ListNumber"/>
      </w:pPr>
      <w:r>
        <w:t>Continue remaining BPMN execution semantics: errors/escalations/signals, event sub-processes, terminate/cancel semantics, loops/multi-instance, compensation, data association execution and resource/user work as required.</w:t>
      </w:r>
    </w:p>
    <w:p>
      <w:pPr>
        <w:pStyle w:val="ListNumber"/>
      </w:pPr>
      <w:r>
        <w:t>After the semantic kernel is coherent, integrate with the tenant-lifecycle marketplace Definition as the first end-to-end executable product.</w:t>
      </w:r>
    </w:p>
    <w:p>
      <w:pPr>
        <w:pStyle w:val="Heading1"/>
      </w:pPr>
      <w:r>
        <w:t>8. Current sprint goal</w:t>
      </w:r>
    </w:p>
    <w:p>
      <w:r>
        <w:t>Build the minimum coherent BPMN execution kernel that can execute structured Process control deterministically and persistently, including nested execution, waiting occurrences and external-work boundaries, while preserving BPMN as the sole semantic process model.</w:t>
      </w:r>
    </w:p>
    <w:p>
      <w:r>
        <w:t>The sprint is successful when the kernel can run a representative tenant-lifecycle path without a proprietary token walker, without Runtime owning BPMN state transitions, and without special-case control-flow duplication for each FlowNode type.</w:t>
      </w:r>
    </w:p>
    <w:p>
      <w:pPr>
        <w:pStyle w:val="Heading1"/>
      </w:pPr>
      <w:r>
        <w:t>9. Sprint completion criteria</w:t>
      </w:r>
    </w:p>
    <w:tbl>
      <w:tblPr>
        <w:tblStyle w:val="TableGrid"/>
        <w:tblW w:type="auto" w:w="0"/>
        <w:tblLook w:firstColumn="1" w:firstRow="1" w:lastColumn="0" w:lastRow="0" w:noHBand="0" w:noVBand="1" w:val="04A0"/>
      </w:tblPr>
      <w:tblGrid>
        <w:gridCol w:w="5040"/>
        <w:gridCol w:w="5040"/>
      </w:tblGrid>
      <w:tr>
        <w:tc>
          <w:tcPr>
            <w:tcW w:type="dxa" w:w="5040"/>
            <w:shd w:fill="E7E6E6"/>
          </w:tcPr>
          <w:p>
            <w:r>
              <w:rPr>
                <w:b/>
              </w:rPr>
              <w:t>Area</w:t>
            </w:r>
          </w:p>
        </w:tc>
        <w:tc>
          <w:tcPr>
            <w:tcW w:type="dxa" w:w="5040"/>
            <w:shd w:fill="E7E6E6"/>
          </w:tcPr>
          <w:p>
            <w:r>
              <w:rPr>
                <w:b/>
              </w:rPr>
              <w:t>Completion criterion</w:t>
            </w:r>
          </w:p>
        </w:tc>
      </w:tr>
      <w:tr>
        <w:tc>
          <w:tcPr>
            <w:tcW w:type="dxa" w:w="5040"/>
          </w:tcPr>
          <w:p>
            <w:r>
              <w:t>Regression state</w:t>
            </w:r>
          </w:p>
        </w:tc>
        <w:tc>
          <w:tcPr>
            <w:tcW w:type="dxa" w:w="5040"/>
          </w:tcPr>
          <w:p>
            <w:r>
              <w:t>All BVC-BPM-Examples execution examples green, including exactly-once outgoing control for ordinary Activity, Boundary Event, SubProcess and CallActivity paths.</w:t>
            </w:r>
          </w:p>
        </w:tc>
      </w:tr>
      <w:tr>
        <w:tc>
          <w:tcPr>
            <w:tcW w:type="dxa" w:w="5040"/>
          </w:tcPr>
          <w:p>
            <w:r>
              <w:t>Lifecycle</w:t>
            </w:r>
          </w:p>
        </w:tc>
        <w:tc>
          <w:tcPr>
            <w:tcW w:type="dxa" w:w="5040"/>
          </w:tcPr>
          <w:p>
            <w:r>
              <w:t>Activity state transitions enforce BPMN lifecycle legality; final states cannot be advanced again.</w:t>
            </w:r>
          </w:p>
        </w:tc>
      </w:tr>
      <w:tr>
        <w:tc>
          <w:tcPr>
            <w:tcW w:type="dxa" w:w="5040"/>
          </w:tcPr>
          <w:p>
            <w:r>
              <w:t>Control flow</w:t>
            </w:r>
          </w:p>
        </w:tc>
        <w:tc>
          <w:tcPr>
            <w:tcW w:type="dxa" w:w="5040"/>
          </w:tcPr>
          <w:p>
            <w:r>
              <w:t>SequenceFlow activations are persistent, single-consumption facts; gateway semantics match BPMN and no transient CPExecutionToken walker is required by the new kernel.</w:t>
            </w:r>
          </w:p>
        </w:tc>
      </w:tr>
      <w:tr>
        <w:tc>
          <w:tcPr>
            <w:tcW w:type="dxa" w:w="5040"/>
          </w:tcPr>
          <w:p>
            <w:r>
              <w:t>Nested scopes</w:t>
            </w:r>
          </w:p>
        </w:tc>
        <w:tc>
          <w:tcPr>
            <w:tcW w:type="dxa" w:w="5040"/>
          </w:tcPr>
          <w:p>
            <w:r>
              <w:t>SubProcess and CallActivity own child scopes; parent continuation occurs only after child completion and occurs exactly once.</w:t>
            </w:r>
          </w:p>
        </w:tc>
      </w:tr>
      <w:tr>
        <w:tc>
          <w:tcPr>
            <w:tcW w:type="dxa" w:w="5040"/>
          </w:tcPr>
          <w:p>
            <w:r>
              <w:t>Occurrences</w:t>
            </w:r>
          </w:p>
        </w:tc>
        <w:tc>
          <w:tcPr>
            <w:tcW w:type="dxa" w:w="5040"/>
          </w:tcPr>
          <w:p>
            <w:r>
              <w:t>Accepted occurrences have stable identity and duplicate acceptance/result application is rejected.</w:t>
            </w:r>
          </w:p>
        </w:tc>
      </w:tr>
      <w:tr>
        <w:tc>
          <w:tcPr>
            <w:tcW w:type="dxa" w:w="5040"/>
          </w:tcPr>
          <w:p>
            <w:r>
              <w:t>Waiting</w:t>
            </w:r>
          </w:p>
        </w:tc>
        <w:tc>
          <w:tcPr>
            <w:tcW w:type="dxa" w:w="5040"/>
          </w:tcPr>
          <w:p>
            <w:r>
              <w:t>Catch events, Event-Based Gateway alternatives, boundary events, messages and timers can be represented as durable waiting state.</w:t>
            </w:r>
          </w:p>
        </w:tc>
      </w:tr>
      <w:tr>
        <w:tc>
          <w:tcPr>
            <w:tcW w:type="dxa" w:w="5040"/>
          </w:tcPr>
          <w:p>
            <w:r>
              <w:t>Process start/end</w:t>
            </w:r>
          </w:p>
        </w:tc>
        <w:tc>
          <w:tcPr>
            <w:tcW w:type="dxa" w:w="5040"/>
          </w:tcPr>
          <w:p>
            <w:r>
              <w:t>Instantiation and completion are explicit semantic operations, including Parallel Event-Based start obligations.</w:t>
            </w:r>
          </w:p>
        </w:tc>
      </w:tr>
      <w:tr>
        <w:tc>
          <w:tcPr>
            <w:tcW w:type="dxa" w:w="5040"/>
          </w:tcPr>
          <w:p>
            <w:r>
              <w:t>Environment</w:t>
            </w:r>
          </w:p>
        </w:tc>
        <w:tc>
          <w:tcPr>
            <w:tcW w:type="dxa" w:w="5040"/>
          </w:tcPr>
          <w:p>
            <w:r>
              <w:t>A named, explicit execution-environment contract resolves expressions, operations, messages/timers/resources/data/called processes without respondsTo: probing or symbolic dispatch.</w:t>
            </w:r>
          </w:p>
        </w:tc>
      </w:tr>
      <w:tr>
        <w:tc>
          <w:tcPr>
            <w:tcW w:type="dxa" w:w="5040"/>
          </w:tcPr>
          <w:p>
            <w:r>
              <w:t>Runtime boundary</w:t>
            </w:r>
          </w:p>
        </w:tc>
        <w:tc>
          <w:tcPr>
            <w:tcW w:type="dxa" w:w="5040"/>
          </w:tcPr>
          <w:p>
            <w:r>
              <w:t>Catalyst Runtime executes external work but cannot directly mutate/advance BPMN execution state; results return as accepted occurrences/results.</w:t>
            </w:r>
          </w:p>
        </w:tc>
      </w:tr>
      <w:tr>
        <w:tc>
          <w:tcPr>
            <w:tcW w:type="dxa" w:w="5040"/>
          </w:tcPr>
          <w:p>
            <w:r>
              <w:t>Transactions</w:t>
            </w:r>
          </w:p>
        </w:tc>
        <w:tc>
          <w:tcPr>
            <w:tcW w:type="dxa" w:w="5040"/>
          </w:tcPr>
          <w:p>
            <w:r>
              <w:t>Immediate semantic consequences reach a stable state before commit; external intents are dispatched across the transaction boundary with idempotent identity.</w:t>
            </w:r>
          </w:p>
        </w:tc>
      </w:tr>
      <w:tr>
        <w:tc>
          <w:tcPr>
            <w:tcW w:type="dxa" w:w="5040"/>
          </w:tcPr>
          <w:p>
            <w:r>
              <w:t>Definition integrity</w:t>
            </w:r>
          </w:p>
        </w:tc>
        <w:tc>
          <w:tcPr>
            <w:tcW w:type="dxa" w:w="5040"/>
          </w:tcPr>
          <w:p>
            <w:r>
              <w:t>Current execution branch is audited/rebased so previously completed Expression, Activity/Gateway, Service, Resource, UserTask, Messaging, EventDefinition, GatewayContract and CallableElement model work is not lost.</w:t>
            </w:r>
          </w:p>
        </w:tc>
      </w:tr>
      <w:tr>
        <w:tc>
          <w:tcPr>
            <w:tcW w:type="dxa" w:w="5040"/>
          </w:tcPr>
          <w:p>
            <w:r>
              <w:t>End-to-end proof</w:t>
            </w:r>
          </w:p>
        </w:tc>
        <w:tc>
          <w:tcPr>
            <w:tcW w:type="dxa" w:w="5040"/>
          </w:tcPr>
          <w:p>
            <w:r>
              <w:t>At least one tenant-lifecycle scenario executes through meaningful branching/waiting/nested/external-work behavior using the real BPMN model.</w:t>
            </w:r>
          </w:p>
        </w:tc>
      </w:tr>
    </w:tbl>
    <w:p>
      <w:pPr>
        <w:pStyle w:val="Heading1"/>
      </w:pPr>
      <w:r>
        <w:t>10. Definition-of-done discipline for each increment</w:t>
      </w:r>
    </w:p>
    <w:p>
      <w:pPr>
        <w:pStyle w:val="ListBullet"/>
      </w:pPr>
      <w:r>
        <w:t>Read the exact current source before changing it.</w:t>
      </w:r>
    </w:p>
    <w:p>
      <w:pPr>
        <w:pStyle w:val="ListBullet"/>
      </w:pPr>
      <w:r>
        <w:t>Ground BPMN behavior in the local BPMN 2.0 specification when semantics are normative or subtle.</w:t>
      </w:r>
    </w:p>
    <w:p>
      <w:pPr>
        <w:pStyle w:val="ListBullet"/>
      </w:pPr>
      <w:r>
        <w:t>Implement the smallest coherent semantic increment; do not add speculative abstractions.</w:t>
      </w:r>
    </w:p>
    <w:p>
      <w:pPr>
        <w:pStyle w:val="ListBullet"/>
      </w:pPr>
      <w:r>
        <w:t>Add GT examples that assert semantic state, not merely that code runs.</w:t>
      </w:r>
    </w:p>
    <w:p>
      <w:pPr>
        <w:pStyle w:val="ListBullet"/>
      </w:pPr>
      <w:r>
        <w:t>When a regression appears, trace the shared invariant and fix the owner; do not patch the failing example or add type-specific compensations.</w:t>
      </w:r>
    </w:p>
    <w:p>
      <w:pPr>
        <w:pStyle w:val="ListBullet"/>
      </w:pPr>
      <w:r>
        <w:t>Package from the latest green archive. Verify archive integrity before handing it over.</w:t>
      </w:r>
    </w:p>
    <w:p>
      <w:pPr>
        <w:pStyle w:val="ListBullet"/>
      </w:pPr>
      <w:r>
        <w:t>Do not move forward until the user reports the increment green.</w:t>
      </w:r>
    </w:p>
    <w:p>
      <w:pPr>
        <w:pStyle w:val="ListBullet"/>
      </w:pPr>
      <w:r>
        <w:t>When asked to move forward, perform the implementation and return the archive; do not respond with a promise to do the work.</w:t>
      </w:r>
    </w:p>
    <w:p>
      <w:pPr>
        <w:pStyle w:val="Heading1"/>
      </w:pPr>
      <w:r>
        <w:t>11. Architectural non-goals / traps</w:t>
      </w:r>
    </w:p>
    <w:p>
      <w:pPr>
        <w:pStyle w:val="ListBullet"/>
      </w:pPr>
      <w:r>
        <w:t>Do not build a second generic process language above BPMN.</w:t>
      </w:r>
    </w:p>
    <w:p>
      <w:pPr>
        <w:pStyle w:val="ListBullet"/>
      </w:pPr>
      <w:r>
        <w:t>Do not make CRCapability mean a BPMN business operation; Runtime capability already has a precise infrastructure meaning.</w:t>
      </w:r>
    </w:p>
    <w:p>
      <w:pPr>
        <w:pStyle w:val="ListBullet"/>
      </w:pPr>
      <w:r>
        <w:t>Do not introduce a generic ORM/repository abstraction for ordinary GemStone-persistent Process/business state.</w:t>
      </w:r>
    </w:p>
    <w:p>
      <w:pPr>
        <w:pStyle w:val="ListBullet"/>
      </w:pPr>
      <w:r>
        <w:t>Do not make CFMaMemento the runtime transaction model.</w:t>
      </w:r>
    </w:p>
    <w:p>
      <w:pPr>
        <w:pStyle w:val="ListBullet"/>
      </w:pPr>
      <w:r>
        <w:t>Do not reintroduce CPExecutionToken as the authority for the new semantic kernel.</w:t>
      </w:r>
    </w:p>
    <w:p>
      <w:pPr>
        <w:pStyle w:val="ListBullet"/>
      </w:pPr>
      <w:r>
        <w:t>Do not let Runtime workers directly complete/fail BPMN Activities.</w:t>
      </w:r>
    </w:p>
    <w:p>
      <w:pPr>
        <w:pStyle w:val="ListBullet"/>
      </w:pPr>
      <w:r>
        <w:t>Do not solve CallActivity/Boundary/SubProcess flow bugs by suppressing duplicate activations after the fact; ensure only one semantic path produces them.</w:t>
      </w:r>
    </w:p>
    <w:p>
      <w:pPr>
        <w:pStyle w:val="ListBullet"/>
      </w:pPr>
      <w:r>
        <w:t>Do not conflate commercial Trial/Grace/Subscription cancellation with operational tenant Suspend/Resume/Remove.</w:t>
      </w:r>
    </w:p>
    <w:p>
      <w:pPr>
        <w:pStyle w:val="Heading1"/>
      </w:pPr>
      <w:r>
        <w:t>12. Immediate continuation point</w:t>
      </w:r>
    </w:p>
    <w:p>
      <w:r>
        <w:t>Resume from Process-Sep20-CallActivityExecution-01.zip if available. The first task is to repair completedCallActivityContinuesCallerControlFlow so that completion produces one—and only one—activation on the caller's outgoing SequenceFlow. Once green, treat that archive as the new baseline and continue with the execution-environment boundary and Call Activity process/version resolution.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