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Catalyst Process Execution Sprint Handover</w:t>
      </w:r>
    </w:p>
    <w:p>
      <w:r>
        <w:rPr>
          <w:b/>
          <w:sz w:val="22"/>
        </w:rPr>
        <w:t>BPMN execution-compliance continuation point, current green baseline, architecture, completed semantics, open risks, and next implementation sequence</w:t>
      </w:r>
    </w:p>
    <w:p>
      <w:r>
        <w:t>Catalyst Process • Architecture / Engineering Documentation • Updated 21 September 2026 • Green through -41a</w:t>
      </w:r>
    </w:p>
    <w:p>
      <w:pPr>
        <w:pStyle w:val="Heading1"/>
      </w:pPr>
      <w:r>
        <w:t>1. Handover purpose</w:t>
      </w:r>
    </w:p>
    <w:p>
      <w:r>
        <w:t>This document is the continuation point for the current Catalyst Process execution sprint. The north star is BPMN execution compliance. Catalyst Process owns BPMN semantic execution; Catalyst Runtime is the execution platform used for actual work, capabilities, services, workers, routing and external effects. The two layers must remain distinct.</w:t>
      </w:r>
    </w:p>
    <w:p>
      <w:r>
        <w:t>Development continues in small semantic increments. Each increment is grounded in the current source and the supplied BPMN 2.0 specification, exercised through GT examples, packaged as an archive, and treated as the next baseline only after the user reports it green.</w:t>
      </w:r>
    </w:p>
    <w:p>
      <w:pPr>
        <w:pStyle w:val="Heading1"/>
      </w:pPr>
      <w:r>
        <w:t>2. Current known-good baseline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7"/>
              </w:rPr>
              <w:t>Artifact</w:t>
            </w:r>
          </w:p>
        </w:tc>
        <w:tc>
          <w:tcPr>
            <w:tcW w:type="dxa" w:w="5040"/>
            <w:vAlign w:val="center"/>
            <w:shd w:fill="D9E2F3"/>
          </w:tcPr>
          <w:p>
            <w:r/>
            <w:r>
              <w:rPr>
                <w:b/>
                <w:sz w:val="17"/>
              </w:rPr>
              <w:t>Status / role</w:t>
            </w:r>
          </w:p>
        </w:tc>
      </w:tr>
      <w:tr>
        <w:tc>
          <w:tcPr>
            <w:tcW w:type="dxa" w:w="5040"/>
          </w:tcPr>
          <w:p>
            <w:r>
              <w:t>Process-Sep21-DeploymentInitiationSubscriptions-41a.zip</w:t>
            </w:r>
          </w:p>
        </w:tc>
        <w:tc>
          <w:tcPr>
            <w:tcW w:type="dxa" w:w="5040"/>
          </w:tcPr>
          <w:p>
            <w:r>
              <w:t>Latest explicitly user-confirmed all-green Process archive. Authoritative continuation baseline.</w:t>
            </w:r>
          </w:p>
        </w:tc>
      </w:tr>
      <w:tr>
        <w:tc>
          <w:tcPr>
            <w:tcW w:type="dxa" w:w="5040"/>
          </w:tcPr>
          <w:p>
            <w:r>
              <w:t>Process-Sep21-InstantiatingEventBasedGateway-40.zip</w:t>
            </w:r>
          </w:p>
        </w:tc>
        <w:tc>
          <w:tcPr>
            <w:tcW w:type="dxa" w:w="5040"/>
          </w:tcPr>
          <w:p>
            <w:r>
              <w:t>Green predecessor. Adds explicit Runtime instantiation through an Event-Based Gateway.</w:t>
            </w:r>
          </w:p>
        </w:tc>
      </w:tr>
      <w:tr>
        <w:tc>
          <w:tcPr>
            <w:tcW w:type="dxa" w:w="5040"/>
          </w:tcPr>
          <w:p>
            <w:r>
              <w:t>formal-11-01-03.pdf</w:t>
            </w:r>
          </w:p>
        </w:tc>
        <w:tc>
          <w:tcPr>
            <w:tcW w:type="dxa" w:w="5040"/>
          </w:tcPr>
          <w:p>
            <w:r>
              <w:t>Supplied BPMN specification and normative semantic reference.</w:t>
            </w:r>
          </w:p>
        </w:tc>
      </w:tr>
      <w:tr>
        <w:tc>
          <w:tcPr>
            <w:tcW w:type="dxa" w:w="5040"/>
          </w:tcPr>
          <w:p>
            <w:r>
              <w:t>Runtime-Sep19-1510(2).zip</w:t>
            </w:r>
          </w:p>
        </w:tc>
        <w:tc>
          <w:tcPr>
            <w:tcW w:type="dxa" w:w="5040"/>
          </w:tcPr>
          <w:p>
            <w:r>
              <w:t>Catalyst Runtime GT/Pharo grounding source. Shared Runtime architecture evidence only; not proof of GemStone transaction implementation.</w:t>
            </w:r>
          </w:p>
        </w:tc>
      </w:tr>
      <w:tr>
        <w:tc>
          <w:tcPr>
            <w:tcW w:type="dxa" w:w="5040"/>
          </w:tcPr>
          <w:p>
            <w:r>
              <w:t>Foundation-Sep20-0530(2).zip</w:t>
            </w:r>
          </w:p>
        </w:tc>
        <w:tc>
          <w:tcPr>
            <w:tcW w:type="dxa" w:w="5040"/>
          </w:tcPr>
          <w:p>
            <w:r>
              <w:t>Foundation grounding source used by the current Process source.</w:t>
            </w:r>
          </w:p>
        </w:tc>
      </w:tr>
    </w:tbl>
    <w:p>
      <w:r>
        <w:t>There is no active red regression at handover time. Process-Sep21-DeploymentInitiationSubscriptions-41a.zip was explicitly reported all green after fixing deployment activation so a deployment without a processDefinition simply has no initiation subscriptions.</w:t>
      </w:r>
    </w:p>
    <w:p>
      <w:pPr>
        <w:pStyle w:val="Heading1"/>
      </w:pPr>
      <w:r>
        <w:t>3. Governing execution architecture</w:t>
      </w:r>
    </w:p>
    <w:p>
      <w:pPr>
        <w:spacing w:after="0"/>
        <w:ind w:left="360"/>
      </w:pPr>
      <w:r>
        <w:rPr>
          <w:rFonts w:ascii="Menlo" w:hAnsi="Menlo"/>
          <w:sz w:val="16"/>
        </w:rPr>
        <w:t>BPMN model</w:t>
      </w:r>
    </w:p>
    <w:p>
      <w:pPr>
        <w:spacing w:after="0"/>
        <w:ind w:left="360"/>
      </w:pPr>
      <w:r>
        <w:rPr>
          <w:rFonts w:ascii="Menlo" w:hAnsi="Menlo"/>
          <w:sz w:val="16"/>
        </w:rPr>
        <w:t xml:space="preserve">    ↓</w:t>
      </w:r>
    </w:p>
    <w:p>
      <w:pPr>
        <w:spacing w:after="0"/>
        <w:ind w:left="360"/>
      </w:pPr>
      <w:r>
        <w:rPr>
          <w:rFonts w:ascii="Menlo" w:hAnsi="Menlo"/>
          <w:sz w:val="16"/>
        </w:rPr>
        <w:t>Catalyst Process semantic execution</w:t>
      </w:r>
    </w:p>
    <w:p>
      <w:pPr>
        <w:spacing w:after="0"/>
        <w:ind w:left="360"/>
      </w:pPr>
      <w:r>
        <w:rPr>
          <w:rFonts w:ascii="Menlo" w:hAnsi="Menlo"/>
          <w:sz w:val="16"/>
        </w:rPr>
        <w:t xml:space="preserve">    • BPMN enablement and lifecycle</w:t>
      </w:r>
    </w:p>
    <w:p>
      <w:pPr>
        <w:spacing w:after="0"/>
        <w:ind w:left="360"/>
      </w:pPr>
      <w:r>
        <w:rPr>
          <w:rFonts w:ascii="Menlo" w:hAnsi="Menlo"/>
          <w:sz w:val="16"/>
        </w:rPr>
        <w:t xml:space="preserve">    • tokens/scopes/Activity identity</w:t>
      </w:r>
    </w:p>
    <w:p>
      <w:pPr>
        <w:spacing w:after="0"/>
        <w:ind w:left="360"/>
      </w:pPr>
      <w:r>
        <w:rPr>
          <w:rFonts w:ascii="Menlo" w:hAnsi="Menlo"/>
          <w:sz w:val="16"/>
        </w:rPr>
        <w:t xml:space="preserve">    • events, subscriptions, compensation and error semantics</w:t>
      </w:r>
    </w:p>
    <w:p>
      <w:pPr>
        <w:spacing w:after="0"/>
        <w:ind w:left="360"/>
      </w:pPr>
      <w:r>
        <w:rPr>
          <w:rFonts w:ascii="Menlo" w:hAnsi="Menlo"/>
          <w:sz w:val="16"/>
        </w:rPr>
        <w:t xml:space="preserve">    • data semantics</w:t>
      </w:r>
    </w:p>
    <w:p>
      <w:pPr>
        <w:spacing w:after="0"/>
        <w:ind w:left="360"/>
      </w:pPr>
      <w:r>
        <w:rPr>
          <w:rFonts w:ascii="Menlo" w:hAnsi="Menlo"/>
          <w:sz w:val="16"/>
        </w:rPr>
        <w:t xml:space="preserve">    • ordering and visibility</w:t>
      </w:r>
    </w:p>
    <w:p>
      <w:pPr>
        <w:spacing w:after="0"/>
        <w:ind w:left="360"/>
      </w:pPr>
      <w:r>
        <w:rPr>
          <w:rFonts w:ascii="Menlo" w:hAnsi="Menlo"/>
          <w:sz w:val="16"/>
        </w:rPr>
        <w:t xml:space="preserve">    • completion semantics</w:t>
      </w:r>
    </w:p>
    <w:p>
      <w:pPr>
        <w:spacing w:after="0"/>
        <w:ind w:left="360"/>
      </w:pPr>
      <w:r>
        <w:rPr>
          <w:rFonts w:ascii="Menlo" w:hAnsi="Menlo"/>
          <w:sz w:val="16"/>
        </w:rPr>
        <w:t xml:space="preserve">    ↓</w:t>
      </w:r>
    </w:p>
    <w:p>
      <w:pPr>
        <w:spacing w:after="0"/>
        <w:ind w:left="360"/>
      </w:pPr>
      <w:r>
        <w:rPr>
          <w:rFonts w:ascii="Menlo" w:hAnsi="Menlo"/>
          <w:sz w:val="16"/>
        </w:rPr>
        <w:t>Process → Runtime integration</w:t>
      </w:r>
    </w:p>
    <w:p>
      <w:pPr>
        <w:spacing w:after="0"/>
        <w:ind w:left="360"/>
      </w:pPr>
      <w:r>
        <w:rPr>
          <w:rFonts w:ascii="Menlo" w:hAnsi="Menlo"/>
          <w:sz w:val="16"/>
        </w:rPr>
        <w:t xml:space="preserve">    ↓</w:t>
      </w:r>
    </w:p>
    <w:p>
      <w:pPr>
        <w:spacing w:after="0"/>
        <w:ind w:left="360"/>
      </w:pPr>
      <w:r>
        <w:rPr>
          <w:rFonts w:ascii="Menlo" w:hAnsi="Menlo"/>
          <w:sz w:val="16"/>
        </w:rPr>
        <w:t>Catalyst Runtime</w:t>
      </w:r>
    </w:p>
    <w:p>
      <w:pPr>
        <w:spacing w:after="0"/>
        <w:ind w:left="360"/>
      </w:pPr>
      <w:r>
        <w:rPr>
          <w:rFonts w:ascii="Menlo" w:hAnsi="Menlo"/>
          <w:sz w:val="16"/>
        </w:rPr>
        <w:t xml:space="preserve">    • actual work execution</w:t>
      </w:r>
    </w:p>
    <w:p>
      <w:pPr>
        <w:spacing w:after="0"/>
        <w:ind w:left="360"/>
      </w:pPr>
      <w:r>
        <w:rPr>
          <w:rFonts w:ascii="Menlo" w:hAnsi="Menlo"/>
          <w:sz w:val="16"/>
        </w:rPr>
        <w:t xml:space="preserve">    • capabilities/services</w:t>
      </w:r>
    </w:p>
    <w:p>
      <w:pPr>
        <w:spacing w:after="0"/>
        <w:ind w:left="360"/>
      </w:pPr>
      <w:r>
        <w:rPr>
          <w:rFonts w:ascii="Menlo" w:hAnsi="Menlo"/>
          <w:sz w:val="16"/>
        </w:rPr>
        <w:t xml:space="preserve">    • workers/routing/deployment</w:t>
      </w:r>
    </w:p>
    <w:p>
      <w:pPr>
        <w:spacing w:after="0"/>
        <w:ind w:left="360"/>
      </w:pPr>
      <w:r>
        <w:rPr>
          <w:rFonts w:ascii="Menlo" w:hAnsi="Menlo"/>
          <w:sz w:val="16"/>
        </w:rPr>
        <w:t xml:space="preserve">    • external effects</w:t>
      </w:r>
    </w:p>
    <w:p>
      <w:pPr>
        <w:pStyle w:val="ListBullet"/>
      </w:pPr>
      <w:r>
        <w:t>CPExecutionScope is the aggregation point for durable BPMN execution facts.</w:t>
      </w:r>
    </w:p>
    <w:p>
      <w:pPr>
        <w:pStyle w:val="ListBullet"/>
      </w:pPr>
      <w:r>
        <w:t>CPActivityExecution is durable BPMN Activity semantic state. It is not a Runtime work unit.</w:t>
      </w:r>
    </w:p>
    <w:p>
      <w:pPr>
        <w:pStyle w:val="ListBullet"/>
      </w:pPr>
      <w:r>
        <w:t>Runtime CRWorkUnitExecution and Process CPActivityExecution are intentionally distinct concepts.</w:t>
      </w:r>
    </w:p>
    <w:p>
      <w:pPr>
        <w:pStyle w:val="ListBullet"/>
      </w:pPr>
      <w:r>
        <w:t>The execution environment is the boundary for expression evaluation, called-process resolution, resource resolution, service invocation and other external/runtime-facing work.</w:t>
      </w:r>
    </w:p>
    <w:p>
      <w:pPr>
        <w:pStyle w:val="ListBullet"/>
      </w:pPr>
      <w:r>
        <w:t>Process decides when BPMN state may advance. Runtime results are inputs to that semantic decision; Runtime workers must not directly mutate BPMN lifecycle state.</w:t>
      </w:r>
    </w:p>
    <w:p>
      <w:pPr>
        <w:pStyle w:val="ListBullet"/>
      </w:pPr>
      <w:r>
        <w:t>GemStone persistence is the persistence model. Do not introduce a generic repository/ORM abstraction for ordinary Process state.</w:t>
      </w:r>
    </w:p>
    <w:p>
      <w:pPr>
        <w:pStyle w:val="ListBullet"/>
      </w:pPr>
      <w:r>
        <w:t>GemStone object references are the normal internal representation: pass domain objects directly inside the BPM/Runtime system; use identifiers primarily at boundaries outside the BPM domain.</w:t>
      </w:r>
    </w:p>
    <w:p>
      <w:pPr>
        <w:pStyle w:val="Heading1"/>
      </w:pPr>
      <w:r>
        <w:t>4. Current execution-kernel coverage</w:t>
      </w:r>
    </w:p>
    <w:p>
      <w:pPr>
        <w:pStyle w:val="Heading2"/>
      </w:pPr>
      <w:r>
        <w:t>4.1 Control flow, scopes and lifecycle</w:t>
      </w:r>
    </w:p>
    <w:p>
      <w:pPr>
        <w:pStyle w:val="ListBullet"/>
      </w:pPr>
      <w:r>
        <w:t>Persistent Activity lifecycle states and guarded transitions.</w:t>
      </w:r>
    </w:p>
    <w:p>
      <w:pPr>
        <w:pStyle w:val="ListBullet"/>
      </w:pPr>
      <w:r>
        <w:t>Persistent SequenceFlow activations with single-consumption and same-scope invariants.</w:t>
      </w:r>
    </w:p>
    <w:p>
      <w:pPr>
        <w:pStyle w:val="ListBullet"/>
      </w:pPr>
      <w:r>
        <w:t>Activity startQuantity consumption and completionQuantity production.</w:t>
      </w:r>
    </w:p>
    <w:p>
      <w:pPr>
        <w:pStyle w:val="ListBullet"/>
      </w:pPr>
      <w:r>
        <w:t>Parallel, Exclusive and Inclusive Gateway execution.</w:t>
      </w:r>
    </w:p>
    <w:p>
      <w:pPr>
        <w:pStyle w:val="ListBullet"/>
      </w:pPr>
      <w:r>
        <w:t>Event-Based Gateway lifecycle and durable subscriptions.</w:t>
      </w:r>
    </w:p>
    <w:p>
      <w:pPr>
        <w:pStyle w:val="ListBullet"/>
      </w:pPr>
      <w:r>
        <w:t>Process start semantics, ordinary Start Events, multiple valid starts and duplicate-start rejection.</w:t>
      </w:r>
    </w:p>
    <w:p>
      <w:pPr>
        <w:pStyle w:val="ListBullet"/>
      </w:pPr>
      <w:r>
        <w:t>Process completion blockers and explicit completion determination.</w:t>
      </w:r>
    </w:p>
    <w:p>
      <w:pPr>
        <w:pStyle w:val="ListBullet"/>
      </w:pPr>
      <w:r>
        <w:t>Nested execution scopes for Sub-Processes and Call Activities.</w:t>
      </w:r>
    </w:p>
    <w:p>
      <w:pPr>
        <w:pStyle w:val="ListBullet"/>
      </w:pPr>
      <w:r>
        <w:t>Scope-local termination and process termination.</w:t>
      </w:r>
    </w:p>
    <w:p>
      <w:pPr>
        <w:pStyle w:val="Heading2"/>
      </w:pPr>
      <w:r>
        <w:t>4.2 Events, subscriptions and occurrences</w:t>
      </w:r>
    </w:p>
    <w:p>
      <w:pPr>
        <w:pStyle w:val="ListBullet"/>
      </w:pPr>
      <w:r>
        <w:t>Start, End, Intermediate Catch, Intermediate Throw and Boundary Event execution.</w:t>
      </w:r>
    </w:p>
    <w:p>
      <w:pPr>
        <w:pStyle w:val="ListBullet"/>
      </w:pPr>
      <w:r>
        <w:t>Durable Message, Timer, Signal and Conditional subscriptions.</w:t>
      </w:r>
    </w:p>
    <w:p>
      <w:pPr>
        <w:pStyle w:val="ListBullet"/>
      </w:pPr>
      <w:r>
        <w:t>Process-wide occurrence identity and duplicate-occurrence protection.</w:t>
      </w:r>
    </w:p>
    <w:p>
      <w:pPr>
        <w:pStyle w:val="ListBullet"/>
      </w:pPr>
      <w:r>
        <w:t>Unique Message delivery with ambiguity rejection.</w:t>
      </w:r>
    </w:p>
    <w:p>
      <w:pPr>
        <w:pStyle w:val="ListBullet"/>
      </w:pPr>
      <w:r>
        <w:t>Timer delivery by subscription identity.</w:t>
      </w:r>
    </w:p>
    <w:p>
      <w:pPr>
        <w:pStyle w:val="ListBullet"/>
      </w:pPr>
      <w:r>
        <w:t>Signal broadcast using the same occurrence.</w:t>
      </w:r>
    </w:p>
    <w:p>
      <w:pPr>
        <w:pStyle w:val="ListBullet"/>
      </w:pPr>
      <w:r>
        <w:t>Conditional evaluation through the execution environment.</w:t>
      </w:r>
    </w:p>
    <w:p>
      <w:pPr>
        <w:pStyle w:val="ListBullet"/>
      </w:pPr>
      <w:r>
        <w:t>Error End propagation and matching interrupting boundary semantics.</w:t>
      </w:r>
    </w:p>
    <w:p>
      <w:pPr>
        <w:pStyle w:val="ListBullet"/>
      </w:pPr>
      <w:r>
        <w:t>Escalation End and Escalation Boundary behavior.</w:t>
      </w:r>
    </w:p>
    <w:p>
      <w:pPr>
        <w:pStyle w:val="ListBullet"/>
      </w:pPr>
      <w:r>
        <w:t>Link event/reference validation.</w:t>
      </w:r>
    </w:p>
    <w:p>
      <w:pPr>
        <w:pStyle w:val="Heading2"/>
      </w:pPr>
      <w:r>
        <w:t>4.3 Compensation</w:t>
      </w:r>
    </w:p>
    <w:p>
      <w:pPr>
        <w:pStyle w:val="ListBullet"/>
      </w:pPr>
      <w:r>
        <w:t>Durable compensation history for successfully completed compensatable work.</w:t>
      </w:r>
    </w:p>
    <w:p>
      <w:pPr>
        <w:pStyle w:val="ListBullet"/>
      </w:pPr>
      <w:r>
        <w:t>Exact completed-instance identity and deterministic completion ordering.</w:t>
      </w:r>
    </w:p>
    <w:p>
      <w:pPr>
        <w:pStyle w:val="ListBullet"/>
      </w:pPr>
      <w:r>
        <w:t>Association-based compensation handlers.</w:t>
      </w:r>
    </w:p>
    <w:p>
      <w:pPr>
        <w:pStyle w:val="ListBullet"/>
      </w:pPr>
      <w:r>
        <w:t>Targeted and untargeted synchronous/asynchronous compensation.</w:t>
      </w:r>
    </w:p>
    <w:p>
      <w:pPr>
        <w:pStyle w:val="ListBullet"/>
      </w:pPr>
      <w:r>
        <w:t>Compensation Intermediate Throw and Compensation End semantics.</w:t>
      </w:r>
    </w:p>
    <w:p>
      <w:pPr>
        <w:pStyle w:val="ListBullet"/>
      </w:pPr>
      <w:r>
        <w:t>Nested-scope visibility, exactly-once claiming and completion blocking.</w:t>
      </w:r>
    </w:p>
    <w:p>
      <w:pPr>
        <w:pStyle w:val="ListBullet"/>
      </w:pPr>
      <w:r>
        <w:t>Default/implicit recursive Sub-Process compensation.</w:t>
      </w:r>
    </w:p>
    <w:p>
      <w:pPr>
        <w:pStyle w:val="ListBullet"/>
      </w:pPr>
      <w:r>
        <w:t>Compensation Event Sub-Process support.</w:t>
      </w:r>
    </w:p>
    <w:p>
      <w:pPr>
        <w:pStyle w:val="ListBullet"/>
      </w:pPr>
      <w:r>
        <w:t>Multi-Instance compensation eligibility: the MI Activity is compensable only when all configured instances completed successfully.</w:t>
      </w:r>
    </w:p>
    <w:p>
      <w:pPr>
        <w:pStyle w:val="ListBullet"/>
      </w:pPr>
      <w:r>
        <w:t>Per-instance compensation snapshots/invocations for Multi-Instance Sub-Processes.</w:t>
      </w:r>
    </w:p>
    <w:p>
      <w:pPr>
        <w:pStyle w:val="Heading2"/>
      </w:pPr>
      <w:r>
        <w:t>4.4 Data semantics</w:t>
      </w:r>
    </w:p>
    <w:p>
      <w:pPr>
        <w:pStyle w:val="ListBullet"/>
      </w:pPr>
      <w:r>
        <w:t>Execution-owned ItemAwareElement values.</w:t>
      </w:r>
    </w:p>
    <w:p>
      <w:pPr>
        <w:pStyle w:val="ListBullet"/>
      </w:pPr>
      <w:r>
        <w:t>Simple DataInputAssociation and DataOutputAssociation execution.</w:t>
      </w:r>
    </w:p>
    <w:p>
      <w:pPr>
        <w:pStyle w:val="ListBullet"/>
      </w:pPr>
      <w:r>
        <w:t>InputSet preparation and Activity input activation gating.</w:t>
      </w:r>
    </w:p>
    <w:p>
      <w:pPr>
        <w:pStyle w:val="ListBullet"/>
      </w:pPr>
      <w:r>
        <w:t>Activity result DataOutput publication and output completion.</w:t>
      </w:r>
    </w:p>
    <w:p>
      <w:pPr>
        <w:pStyle w:val="ListBullet"/>
      </w:pPr>
      <w:r>
        <w:t>External invocation input capture.</w:t>
      </w:r>
    </w:p>
    <w:p>
      <w:pPr>
        <w:pStyle w:val="ListBullet"/>
      </w:pPr>
      <w:r>
        <w:t>Compensation data snapshots and data-dependency-aware compensation ordering.</w:t>
      </w:r>
    </w:p>
    <w:p>
      <w:pPr>
        <w:pStyle w:val="ListBullet"/>
      </w:pPr>
      <w:r>
        <w:t>Throw Event DataInput and Catch Event DataOutput handling.</w:t>
      </w:r>
    </w:p>
    <w:p>
      <w:pPr>
        <w:pStyle w:val="ListBullet"/>
      </w:pPr>
      <w:r>
        <w:t>Thrown-event occurrence payloads.</w:t>
      </w:r>
    </w:p>
    <w:p>
      <w:pPr>
        <w:pStyle w:val="ListBullet"/>
      </w:pPr>
      <w:r>
        <w:t>Start Event Process DataInput and End Event Process DataOutput handling.</w:t>
      </w:r>
    </w:p>
    <w:p>
      <w:pPr>
        <w:pStyle w:val="ListBullet"/>
      </w:pPr>
      <w:r>
        <w:t>Call Activity exact data interface and data mapping.</w:t>
      </w:r>
    </w:p>
    <w:p>
      <w:pPr>
        <w:pStyle w:val="Heading1"/>
      </w:pPr>
      <w:r>
        <w:t>5. Multi-Instance execution status</w:t>
      </w:r>
    </w:p>
    <w:p>
      <w:r>
        <w:t>Multi-Instance execution is now a substantial implemented semantic area rather than a future placeholder. The implementation distinguishes the outer Activity execution from each CPMultiInstanceActivityExecution.</w:t>
      </w:r>
    </w:p>
    <w:p>
      <w:pPr>
        <w:pStyle w:val="ListBullet"/>
      </w:pPr>
      <w:r>
        <w:t>Cardinality evaluation and collection-valued input cardinality.</w:t>
      </w:r>
    </w:p>
    <w:p>
      <w:pPr>
        <w:pStyle w:val="ListBullet"/>
      </w:pPr>
      <w:r>
        <w:t>Collection input snapshotting.</w:t>
      </w:r>
    </w:p>
    <w:p>
      <w:pPr>
        <w:pStyle w:val="ListBullet"/>
      </w:pPr>
      <w:r>
        <w:t>Sequential and parallel scheduling.</w:t>
      </w:r>
    </w:p>
    <w:p>
      <w:pPr>
        <w:pStyle w:val="ListBullet"/>
      </w:pPr>
      <w:r>
        <w:t>Parallel generation-before-execution: all configured parallel instances are generated before synchronous task execution begins.</w:t>
      </w:r>
    </w:p>
    <w:p>
      <w:pPr>
        <w:pStyle w:val="ListBullet"/>
      </w:pPr>
      <w:r>
        <w:t>Runtime attributes: loopCounter, numberOfInstances, numberOfActiveInstances, numberOfCompletedInstances and numberOfTerminatedInstances.</w:t>
      </w:r>
    </w:p>
    <w:p>
      <w:pPr>
        <w:pStyle w:val="ListBullet"/>
      </w:pPr>
      <w:r>
        <w:t>Per-instance inputDataItem/outputDataItem and ordinary Activity-local data.</w:t>
      </w:r>
    </w:p>
    <w:p>
      <w:pPr>
        <w:pStyle w:val="ListBullet"/>
      </w:pPr>
      <w:r>
        <w:t>Outer loopDataInput/loopDataOutput ownership by CPActivityExecution.</w:t>
      </w:r>
    </w:p>
    <w:p>
      <w:pPr>
        <w:pStyle w:val="ListBullet"/>
      </w:pPr>
      <w:r>
        <w:t>Output collection publication only after all required items have been written.</w:t>
      </w:r>
    </w:p>
    <w:p>
      <w:pPr>
        <w:pStyle w:val="ListBullet"/>
      </w:pPr>
      <w:r>
        <w:t>CompletionCondition evaluated in instance context and required to return Boolean.</w:t>
      </w:r>
    </w:p>
    <w:p>
      <w:pPr>
        <w:pStyle w:val="ListBullet"/>
      </w:pPr>
      <w:r>
        <w:t>CompletionCondition cancellation of remaining generated instances.</w:t>
      </w:r>
    </w:p>
    <w:p>
      <w:pPr>
        <w:pStyle w:val="ListBullet"/>
      </w:pPr>
      <w:r>
        <w:t>ComplexBehaviorDefinition and behavior events.</w:t>
      </w:r>
    </w:p>
    <w:p>
      <w:pPr>
        <w:pStyle w:val="ListBullet"/>
      </w:pPr>
      <w:r>
        <w:t>Per-instance Sub-Process scopes.</w:t>
      </w:r>
    </w:p>
    <w:p>
      <w:pPr>
        <w:pStyle w:val="ListBullet"/>
      </w:pPr>
      <w:r>
        <w:t>Multi-Instance Send, Receive, Service, Script, Business Rule, User, Manual and Abstract Task behavior through the task-specific execution hooks.</w:t>
      </w:r>
    </w:p>
    <w:p>
      <w:pPr>
        <w:pStyle w:val="Heading1"/>
      </w:pPr>
      <w:r>
        <w:t>6. Standard Loop execution status</w:t>
      </w:r>
    </w:p>
    <w:p>
      <w:r>
        <w:t>Standard Loop execution is now implemented as repeated iterations of one Activity execution. CPStandardLoopIterationExecution represents each iteration context; it is not treated as a separate outer Activity execution.</w:t>
      </w:r>
    </w:p>
    <w:p>
      <w:pPr>
        <w:pStyle w:val="ListBullet"/>
      </w:pPr>
      <w:r>
        <w:t>Standard Loop runtime state and durable iteration executions.</w:t>
      </w:r>
    </w:p>
    <w:p>
      <w:pPr>
        <w:pStyle w:val="ListBullet"/>
      </w:pPr>
      <w:r>
        <w:t>Pre-test and post-test loop behavior.</w:t>
      </w:r>
    </w:p>
    <w:p>
      <w:pPr>
        <w:pStyle w:val="ListBullet"/>
      </w:pPr>
      <w:r>
        <w:t>loopMaximum support.</w:t>
      </w:r>
    </w:p>
    <w:p>
      <w:pPr>
        <w:pStyle w:val="ListBullet"/>
      </w:pPr>
      <w:r>
        <w:t>loopCounter is available in both the outer Activity loop context and the particular iteration context where appropriate.</w:t>
      </w:r>
    </w:p>
    <w:p>
      <w:pPr>
        <w:pStyle w:val="ListBullet"/>
      </w:pPr>
      <w:r>
        <w:t>loopCondition is evaluated through the execution environment and must return Boolean.</w:t>
      </w:r>
    </w:p>
    <w:p>
      <w:pPr>
        <w:pStyle w:val="ListBullet"/>
      </w:pPr>
      <w:r>
        <w:t>The loop condition is evaluated once per decision point; the scheduler no longer prechecks and then reevaluates the same condition when beginning an already-permitted iteration.</w:t>
      </w:r>
    </w:p>
    <w:p>
      <w:pPr>
        <w:pStyle w:val="ListBullet"/>
      </w:pPr>
      <w:r>
        <w:t>Abstract Task iterations complete immediately.</w:t>
      </w:r>
    </w:p>
    <w:p>
      <w:pPr>
        <w:pStyle w:val="ListBullet"/>
      </w:pPr>
      <w:r>
        <w:t>Script Task and Business Rule Task execute their synchronous semantics per iteration.</w:t>
      </w:r>
    </w:p>
    <w:p>
      <w:pPr>
        <w:pStyle w:val="ListBullet"/>
      </w:pPr>
      <w:r>
        <w:t>Send Task owns a distinct durable CPMessageDispatch per iteration.</w:t>
      </w:r>
    </w:p>
    <w:p>
      <w:pPr>
        <w:pStyle w:val="ListBullet"/>
      </w:pPr>
      <w:r>
        <w:t>Receive Task owns a distinct waiting CPMessageSubscription per iteration.</w:t>
      </w:r>
    </w:p>
    <w:p>
      <w:pPr>
        <w:pStyle w:val="ListBullet"/>
      </w:pPr>
      <w:r>
        <w:t>Service Task owns a distinct CPExternalInvocation per iteration.</w:t>
      </w:r>
    </w:p>
    <w:p>
      <w:pPr>
        <w:pStyle w:val="ListBullet"/>
      </w:pPr>
      <w:r>
        <w:t>User Task owns a distinct durable CPUserTaskWorkItem per iteration.</w:t>
      </w:r>
    </w:p>
    <w:p>
      <w:pPr>
        <w:pStyle w:val="ListBullet"/>
      </w:pPr>
      <w:r>
        <w:t>Manual Task resolves its ResourceRole assignments per iteration and waits for explicit completion.</w:t>
      </w:r>
    </w:p>
    <w:p>
      <w:pPr>
        <w:pStyle w:val="Heading1"/>
      </w:pPr>
      <w:r>
        <w:t>7. Task execution coverage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Task type</w:t>
            </w:r>
          </w:p>
        </w:tc>
        <w:tc>
          <w:tcPr>
            <w:tcW w:type="dxa" w:w="3360"/>
            <w:vAlign w:val="center"/>
            <w:shd w:fill="D9E2F3"/>
          </w:tcPr>
          <w:p>
            <w:r/>
            <w:r>
              <w:rPr>
                <w:b/>
                <w:sz w:val="17"/>
              </w:rPr>
              <w:t>Implemented operational behavior</w:t>
            </w:r>
          </w:p>
        </w:tc>
        <w:tc>
          <w:tcPr>
            <w:tcW w:type="dxa" w:w="3360"/>
            <w:vAlign w:val="center"/>
            <w:shd w:fill="D9E2F3"/>
          </w:tcPr>
          <w:p>
            <w:r/>
            <w:r>
              <w:rPr>
                <w:b/>
                <w:sz w:val="17"/>
              </w:rPr>
              <w:t>Loop coverage</w:t>
            </w:r>
          </w:p>
        </w:tc>
      </w:tr>
      <w:tr>
        <w:tc>
          <w:tcPr>
            <w:tcW w:type="dxa" w:w="3360"/>
            <w:vAlign w:val="center"/>
          </w:tcPr>
          <w:p>
            <w:r/>
            <w:r>
              <w:rPr>
                <w:b w:val="0"/>
                <w:sz w:val="17"/>
              </w:rPr>
              <w:t>Service Task</w:t>
            </w:r>
          </w:p>
        </w:tc>
        <w:tc>
          <w:tcPr>
            <w:tcW w:type="dxa" w:w="3360"/>
            <w:vAlign w:val="center"/>
          </w:tcPr>
          <w:p>
            <w:r/>
            <w:r>
              <w:rPr>
                <w:b w:val="0"/>
                <w:sz w:val="17"/>
              </w:rPr>
              <w:t>Operation resolution, durable external invocation, result/output completion.</w:t>
            </w:r>
          </w:p>
        </w:tc>
        <w:tc>
          <w:tcPr>
            <w:tcW w:type="dxa" w:w="3360"/>
            <w:vAlign w:val="center"/>
          </w:tcPr>
          <w:p>
            <w:r/>
            <w:r>
              <w:rPr>
                <w:b w:val="0"/>
                <w:sz w:val="17"/>
              </w:rPr>
              <w:t>Ordinary, MI, Standard Loop</w:t>
            </w:r>
          </w:p>
        </w:tc>
      </w:tr>
      <w:tr>
        <w:tc>
          <w:tcPr>
            <w:tcW w:type="dxa" w:w="3360"/>
            <w:vAlign w:val="center"/>
          </w:tcPr>
          <w:p>
            <w:r/>
            <w:r>
              <w:rPr>
                <w:b w:val="0"/>
                <w:sz w:val="17"/>
              </w:rPr>
              <w:t>Send Task</w:t>
            </w:r>
          </w:p>
        </w:tc>
        <w:tc>
          <w:tcPr>
            <w:tcW w:type="dxa" w:w="3360"/>
            <w:vAlign w:val="center"/>
          </w:tcPr>
          <w:p>
            <w:r/>
            <w:r>
              <w:rPr>
                <w:b w:val="0"/>
                <w:sz w:val="17"/>
              </w:rPr>
              <w:t>Message dispatch and completion.</w:t>
            </w:r>
          </w:p>
        </w:tc>
        <w:tc>
          <w:tcPr>
            <w:tcW w:type="dxa" w:w="3360"/>
            <w:vAlign w:val="center"/>
          </w:tcPr>
          <w:p>
            <w:r/>
            <w:r>
              <w:rPr>
                <w:b w:val="0"/>
                <w:sz w:val="17"/>
              </w:rPr>
              <w:t>Ordinary, MI, Standard Loop</w:t>
            </w:r>
          </w:p>
        </w:tc>
      </w:tr>
      <w:tr>
        <w:tc>
          <w:tcPr>
            <w:tcW w:type="dxa" w:w="3360"/>
            <w:vAlign w:val="center"/>
          </w:tcPr>
          <w:p>
            <w:r/>
            <w:r>
              <w:rPr>
                <w:b w:val="0"/>
                <w:sz w:val="17"/>
              </w:rPr>
              <w:t>Receive Task</w:t>
            </w:r>
          </w:p>
        </w:tc>
        <w:tc>
          <w:tcPr>
            <w:tcW w:type="dxa" w:w="3360"/>
            <w:vAlign w:val="center"/>
          </w:tcPr>
          <w:p>
            <w:r/>
            <w:r>
              <w:rPr>
                <w:b w:val="0"/>
                <w:sz w:val="17"/>
              </w:rPr>
              <w:t>Wait for associated message occurrence; durable subscription.</w:t>
            </w:r>
          </w:p>
        </w:tc>
        <w:tc>
          <w:tcPr>
            <w:tcW w:type="dxa" w:w="3360"/>
            <w:vAlign w:val="center"/>
          </w:tcPr>
          <w:p>
            <w:r/>
            <w:r>
              <w:rPr>
                <w:b w:val="0"/>
                <w:sz w:val="17"/>
              </w:rPr>
              <w:t>Ordinary, MI, Standard Loop</w:t>
            </w:r>
          </w:p>
        </w:tc>
      </w:tr>
      <w:tr>
        <w:tc>
          <w:tcPr>
            <w:tcW w:type="dxa" w:w="3360"/>
            <w:vAlign w:val="center"/>
          </w:tcPr>
          <w:p>
            <w:r/>
            <w:r>
              <w:rPr>
                <w:b w:val="0"/>
                <w:sz w:val="17"/>
              </w:rPr>
              <w:t>User Task</w:t>
            </w:r>
          </w:p>
        </w:tc>
        <w:tc>
          <w:tcPr>
            <w:tcW w:type="dxa" w:w="3360"/>
            <w:vAlign w:val="center"/>
          </w:tcPr>
          <w:p>
            <w:r/>
            <w:r>
              <w:rPr>
                <w:b w:val="0"/>
                <w:sz w:val="17"/>
              </w:rPr>
              <w:t>Distribution to task-manager boundary, durable work item, potential-owner/claim semantics.</w:t>
            </w:r>
          </w:p>
        </w:tc>
        <w:tc>
          <w:tcPr>
            <w:tcW w:type="dxa" w:w="3360"/>
            <w:vAlign w:val="center"/>
          </w:tcPr>
          <w:p>
            <w:r/>
            <w:r>
              <w:rPr>
                <w:b w:val="0"/>
                <w:sz w:val="17"/>
              </w:rPr>
              <w:t>Ordinary, MI, Standard Loop</w:t>
            </w:r>
          </w:p>
        </w:tc>
      </w:tr>
      <w:tr>
        <w:tc>
          <w:tcPr>
            <w:tcW w:type="dxa" w:w="3360"/>
            <w:vAlign w:val="center"/>
          </w:tcPr>
          <w:p>
            <w:r/>
            <w:r>
              <w:rPr>
                <w:b w:val="0"/>
                <w:sz w:val="17"/>
              </w:rPr>
              <w:t>Manual Task</w:t>
            </w:r>
          </w:p>
        </w:tc>
        <w:tc>
          <w:tcPr>
            <w:tcW w:type="dxa" w:w="3360"/>
            <w:vAlign w:val="center"/>
          </w:tcPr>
          <w:p>
            <w:r/>
            <w:r>
              <w:rPr>
                <w:b w:val="0"/>
                <w:sz w:val="17"/>
              </w:rPr>
              <w:t>Semantic resource assignment; waits for explicit manual completion; no Runtime execution.</w:t>
            </w:r>
          </w:p>
        </w:tc>
        <w:tc>
          <w:tcPr>
            <w:tcW w:type="dxa" w:w="3360"/>
            <w:vAlign w:val="center"/>
          </w:tcPr>
          <w:p>
            <w:r/>
            <w:r>
              <w:rPr>
                <w:b w:val="0"/>
                <w:sz w:val="17"/>
              </w:rPr>
              <w:t>Ordinary, MI, Standard Loop</w:t>
            </w:r>
          </w:p>
        </w:tc>
      </w:tr>
      <w:tr>
        <w:tc>
          <w:tcPr>
            <w:tcW w:type="dxa" w:w="3360"/>
            <w:vAlign w:val="center"/>
          </w:tcPr>
          <w:p>
            <w:r/>
            <w:r>
              <w:rPr>
                <w:b w:val="0"/>
                <w:sz w:val="17"/>
              </w:rPr>
              <w:t>Business Rule Task</w:t>
            </w:r>
          </w:p>
        </w:tc>
        <w:tc>
          <w:tcPr>
            <w:tcW w:type="dxa" w:w="3360"/>
            <w:vAlign w:val="center"/>
          </w:tcPr>
          <w:p>
            <w:r/>
            <w:r>
              <w:rPr>
                <w:b w:val="0"/>
                <w:sz w:val="17"/>
              </w:rPr>
              <w:t>Associated business rule invoked through environment; completes synchronously.</w:t>
            </w:r>
          </w:p>
        </w:tc>
        <w:tc>
          <w:tcPr>
            <w:tcW w:type="dxa" w:w="3360"/>
            <w:vAlign w:val="center"/>
          </w:tcPr>
          <w:p>
            <w:r/>
            <w:r>
              <w:rPr>
                <w:b w:val="0"/>
                <w:sz w:val="17"/>
              </w:rPr>
              <w:t>Ordinary, MI, Standard Loop</w:t>
            </w:r>
          </w:p>
        </w:tc>
      </w:tr>
      <w:tr>
        <w:tc>
          <w:tcPr>
            <w:tcW w:type="dxa" w:w="3360"/>
            <w:vAlign w:val="center"/>
          </w:tcPr>
          <w:p>
            <w:r/>
            <w:r>
              <w:rPr>
                <w:b w:val="0"/>
                <w:sz w:val="17"/>
              </w:rPr>
              <w:t>Script Task</w:t>
            </w:r>
          </w:p>
        </w:tc>
        <w:tc>
          <w:tcPr>
            <w:tcW w:type="dxa" w:w="3360"/>
            <w:vAlign w:val="center"/>
          </w:tcPr>
          <w:p>
            <w:r/>
            <w:r>
              <w:rPr>
                <w:b w:val="0"/>
                <w:sz w:val="17"/>
              </w:rPr>
              <w:t>Associated script invoked through environment; completes synchronously.</w:t>
            </w:r>
          </w:p>
        </w:tc>
        <w:tc>
          <w:tcPr>
            <w:tcW w:type="dxa" w:w="3360"/>
            <w:vAlign w:val="center"/>
          </w:tcPr>
          <w:p>
            <w:r/>
            <w:r>
              <w:rPr>
                <w:b w:val="0"/>
                <w:sz w:val="17"/>
              </w:rPr>
              <w:t>Ordinary, MI, Standard Loop</w:t>
            </w:r>
          </w:p>
        </w:tc>
      </w:tr>
      <w:tr>
        <w:tc>
          <w:tcPr>
            <w:tcW w:type="dxa" w:w="3360"/>
            <w:vAlign w:val="center"/>
          </w:tcPr>
          <w:p>
            <w:r/>
            <w:r>
              <w:rPr>
                <w:b w:val="0"/>
                <w:sz w:val="17"/>
              </w:rPr>
              <w:t>Abstract Task</w:t>
            </w:r>
          </w:p>
        </w:tc>
        <w:tc>
          <w:tcPr>
            <w:tcW w:type="dxa" w:w="3360"/>
            <w:vAlign w:val="center"/>
          </w:tcPr>
          <w:p>
            <w:r/>
            <w:r>
              <w:rPr>
                <w:b w:val="0"/>
                <w:sz w:val="17"/>
              </w:rPr>
              <w:t>Completes upon activation; conceptual only.</w:t>
            </w:r>
          </w:p>
        </w:tc>
        <w:tc>
          <w:tcPr>
            <w:tcW w:type="dxa" w:w="3360"/>
            <w:vAlign w:val="center"/>
          </w:tcPr>
          <w:p>
            <w:r/>
            <w:r>
              <w:rPr>
                <w:b w:val="0"/>
                <w:sz w:val="17"/>
              </w:rPr>
              <w:t>Ordinary, MI, Standard Loop</w:t>
            </w:r>
          </w:p>
        </w:tc>
      </w:tr>
    </w:tbl>
    <w:p>
      <w:pPr>
        <w:pStyle w:val="Heading1"/>
      </w:pPr>
      <w:r>
        <w:t>8. Resource assignment semantics</w:t>
      </w:r>
    </w:p>
    <w:p>
      <w:pPr>
        <w:pStyle w:val="ListBullet"/>
      </w:pPr>
      <w:r>
        <w:t>Activity ResourceRole assignment is represented durably by CPResourceRoleAssignment.</w:t>
      </w:r>
    </w:p>
    <w:p>
      <w:pPr>
        <w:pStyle w:val="ListBullet"/>
      </w:pPr>
      <w:r>
        <w:t>User Task potential owners are derived from BPMN PotentialOwner roles; claiming records actualOwner.</w:t>
      </w:r>
    </w:p>
    <w:p>
      <w:pPr>
        <w:pStyle w:val="ListBullet"/>
      </w:pPr>
      <w:r>
        <w:t>ResourceAssignmentExpression is evaluated by Process through the execution environment.</w:t>
      </w:r>
    </w:p>
    <w:p>
      <w:pPr>
        <w:pStyle w:val="ListBullet"/>
      </w:pPr>
      <w:r>
        <w:t>Parameterized Resource assignment evaluates ResourceParameterBinding expressions in the Activity execution context and passes evaluated parameter/value pairs to the environment's resource-resolution boundary.</w:t>
      </w:r>
    </w:p>
    <w:p>
      <w:pPr>
        <w:pStyle w:val="ListBullet"/>
      </w:pPr>
      <w:r>
        <w:t>ResourceRole validation enforces mutual exclusivity of resourceRef and resourceAssignmentExpression and requires parameter bindings to be used only with resourceRef.</w:t>
      </w:r>
    </w:p>
    <w:p>
      <w:pPr>
        <w:pStyle w:val="ListBullet"/>
      </w:pPr>
      <w:r>
        <w:t>Each ResourceParameterBinding must reference a ResourceParameter actually defined by the referenced Resource and must contain an Expression.</w:t>
      </w:r>
    </w:p>
    <w:p>
      <w:pPr>
        <w:pStyle w:val="ListBullet"/>
      </w:pPr>
      <w:r>
        <w:t>Do not infer that every ResourceParameter marked required must have a BPMN binding. The BPMN text permits infrastructure to use zero or more specified parameters and to override parameters at deployment.</w:t>
      </w:r>
    </w:p>
    <w:p>
      <w:pPr>
        <w:pStyle w:val="Heading1"/>
      </w:pPr>
      <w:r>
        <w:t>9. Important recent fixes and lessons</w:t>
      </w:r>
    </w:p>
    <w:p>
      <w:pPr>
        <w:pStyle w:val="ListBullet"/>
      </w:pPr>
      <w:r>
        <w:t>Resource validation must occur before Activity activation. Invalid resource models must leave the Activity Ready rather than transition it to Active and fail later.</w:t>
      </w:r>
    </w:p>
    <w:p>
      <w:pPr>
        <w:pStyle w:val="ListBullet"/>
      </w:pPr>
      <w:r>
        <w:t>CPResourceRole&gt;&gt;hasValidResourceParameterBindings required explicit parentheses around identityIncludes: before composing it with and:. Without them Smalltalk parsed identityIncludes:and:.</w:t>
      </w:r>
    </w:p>
    <w:p>
      <w:pPr>
        <w:pStyle w:val="ListBullet"/>
      </w:pPr>
      <w:r>
        <w:t>Parallel MI generation must precede synchronous execution. Otherwise an early completionCondition can complete the outer Activity before later configured instances have even been generated.</w:t>
      </w:r>
    </w:p>
    <w:p>
      <w:pPr>
        <w:pStyle w:val="ListBullet"/>
      </w:pPr>
      <w:r>
        <w:t>Service Task MI activation now begins MI scheduling as part of activateServiceTaskExecution:; callers no longer manually invoke beginMultiInstanceActivityExecutions.</w:t>
      </w:r>
    </w:p>
    <w:p>
      <w:pPr>
        <w:pStyle w:val="ListBullet"/>
      </w:pPr>
      <w:r>
        <w:t>Standard Loop iteration expressions need the iteration's loopCounter protocol. Evaluating a resource expression against CPStandardLoopIterationExecution exposed this missing semantic attribute.</w:t>
      </w:r>
    </w:p>
    <w:p>
      <w:pPr>
        <w:pStyle w:val="ListBullet"/>
      </w:pPr>
      <w:r>
        <w:t>Standard Loop scheduling separates 'is another iteration permitted?' from 'begin the already-permitted iteration' so a loopCondition is not evaluated twice.</w:t>
      </w:r>
    </w:p>
    <w:p>
      <w:pPr>
        <w:pStyle w:val="Heading1"/>
      </w:pPr>
      <w:r>
        <w:t>10. Major progress since the previous handover</w:t>
      </w:r>
    </w:p>
    <w:p>
      <w:pPr>
        <w:pStyle w:val="Heading2"/>
      </w:pPr>
      <w:r>
        <w:t>10.1 Runtime / GemStone integration architecture</w:t>
      </w:r>
    </w:p>
    <w:p>
      <w:pPr>
        <w:pStyle w:val="ListBullet"/>
      </w:pPr>
      <w:r>
        <w:t>CPBpmService is a CRWorkerService. Catalyst Runtime remains the execution platform; Catalyst Process remains the BPMN semantic layer.</w:t>
      </w:r>
    </w:p>
    <w:p>
      <w:pPr>
        <w:pStyle w:val="ListBullet"/>
      </w:pPr>
      <w:r>
        <w:t>Production mutation enters through explicit BPM Runtime WorkUnits. The semantic kernel does not know about Runtime WorkUnits.</w:t>
      </w:r>
    </w:p>
    <w:p>
      <w:pPr>
        <w:pStyle w:val="ListBullet"/>
      </w:pPr>
      <w:r>
        <w:t>In GemStone, internal BPM/Runtime work normally passes actual persistent domain objects. Stable identifiers are primarily boundary representations when objects leave the BPM domain or cross an external interface.</w:t>
      </w:r>
    </w:p>
    <w:p>
      <w:pPr>
        <w:pStyle w:val="ListBullet"/>
      </w:pPr>
      <w:r>
        <w:t>CPBpmService requires Runtime scheduling for autonomous BPM processing and local enqueue capability for follow-on work. A Runtime repeating background WorkUnit reconciles persistent BPM state; Process does not implement a second scheduler.</w:t>
      </w:r>
    </w:p>
    <w:p>
      <w:pPr>
        <w:pStyle w:val="ListBullet"/>
      </w:pPr>
      <w:r>
        <w:t>Runtime-facing operations now cover process start and termination, Message and Signal delivery, Timer triggering, Conditional reevaluation, User Task completion, Service invocation completion/fault, deployment activation/retirement, execution/deployment queries, and Event-Based-Gateway initiation.</w:t>
      </w:r>
    </w:p>
    <w:p>
      <w:pPr>
        <w:pStyle w:val="Heading2"/>
      </w:pPr>
      <w:r>
        <w:t>10.2 Event SubProcesses and propagation</w:t>
      </w:r>
    </w:p>
    <w:p>
      <w:pPr>
        <w:pStyle w:val="ListBullet"/>
      </w:pPr>
      <w:r>
        <w:t>Generic Event SubProcess execution now covers Error, Escalation, Message, Signal, Timer and Conditional initiation with the appropriate interrupting/noninterrupting behavior.</w:t>
      </w:r>
    </w:p>
    <w:p>
      <w:pPr>
        <w:pStyle w:val="ListBullet"/>
      </w:pPr>
      <w:r>
        <w:t>Error and Escalation propagation use modeled Activity identity across ordinary, Multi-Instance and Standard Loop executions. Error matching supports catch-all and errorCode matching; Escalation supports identity/escalationCode matching.</w:t>
      </w:r>
    </w:p>
    <w:p>
      <w:pPr>
        <w:pStyle w:val="ListBullet"/>
      </w:pPr>
      <w:r>
        <w:t>Noninterrupting Event SubProcesses re-arm where repeatability is required; initiation subscriptions do not incorrectly keep a containing scope alive.</w:t>
      </w:r>
    </w:p>
    <w:p>
      <w:pPr>
        <w:pStyle w:val="Heading2"/>
      </w:pPr>
      <w:r>
        <w:t>10.3 Runtime event delivery and autonomous Timers</w:t>
      </w:r>
    </w:p>
    <w:p>
      <w:pPr>
        <w:pStyle w:val="ListBullet"/>
      </w:pPr>
      <w:r>
        <w:t>Timer subscriptions have stable identity, due-time resolution through the execution environment, waiting/dispatch-pending/triggered lifecycle, exact occurrence identity and harmless stale queued-work behavior.</w:t>
      </w:r>
    </w:p>
    <w:p>
      <w:pPr>
        <w:pStyle w:val="ListBullet"/>
      </w:pPr>
      <w:r>
        <w:t>The BPM background Runtime service discovers due deliverable Timer subscriptions and enqueues CPTriggerTimerWorkUnit; it does not execute Timer semantics directly.</w:t>
      </w:r>
    </w:p>
    <w:p>
      <w:pPr>
        <w:pStyle w:val="ListBullet"/>
      </w:pPr>
      <w:r>
        <w:t>Conditional events are explicitly reevaluated rather than arbitrarily polled. Conditional Intermediate Catch, Boundary and Event SubProcess forms share the canonical subscription semantics.</w:t>
      </w:r>
    </w:p>
    <w:p>
      <w:pPr>
        <w:pStyle w:val="Heading2"/>
      </w:pPr>
      <w:r>
        <w:t>10.4 Event-Based Gateway and Receive Task</w:t>
      </w:r>
    </w:p>
    <w:p>
      <w:pPr>
        <w:pStyle w:val="ListBullet"/>
      </w:pPr>
      <w:r>
        <w:t>Event-Based Gateway alternatives now participate in canonical Message, Signal, Timer and Conditional subscription delivery. First acceptance wins and competing alternatives are withdrawn.</w:t>
      </w:r>
    </w:p>
    <w:p>
      <w:pPr>
        <w:pStyle w:val="ListBullet"/>
      </w:pPr>
      <w:r>
        <w:t>Receive Task can participate as a Message alternative after an Event-Based Gateway and completes using the same accepted occurrence.</w:t>
      </w:r>
    </w:p>
    <w:p>
      <w:pPr>
        <w:pStyle w:val="ListBullet"/>
      </w:pPr>
      <w:r>
        <w:t>Instantiating Event-Based Gateways are distinct from ordinary in-scope gateways. Runtime can create a new CPProcessExecution through a selected gateway alternative, and active deployments can own persistent pre-execution initiation subscriptions for Message/Signal initiation.</w:t>
      </w:r>
    </w:p>
    <w:p>
      <w:pPr>
        <w:pStyle w:val="ListBullet"/>
      </w:pPr>
      <w:r>
        <w:t>Accepting one deployment-level initiation occurrence creates one execution without consuming the deployment's future initiation capability. Retirement stops new initiation without disturbing executions already created.</w:t>
      </w:r>
    </w:p>
    <w:p>
      <w:pPr>
        <w:pStyle w:val="Heading2"/>
      </w:pPr>
      <w:r>
        <w:t>10.5 Deployment and external-work API</w:t>
      </w:r>
    </w:p>
    <w:p>
      <w:pPr>
        <w:pStyle w:val="ListBullet"/>
      </w:pPr>
      <w:r>
        <w:t>CPProcessDeployment has explicit draft → active → retired lifecycle protocol and acceptsNewProcessExecutions; Runtime code no longer interprets lifecycle symbols.</w:t>
      </w:r>
    </w:p>
    <w:p>
      <w:pPr>
        <w:pStyle w:val="ListBullet"/>
      </w:pPr>
      <w:r>
        <w:t>CPSystemRoot retains CPProcessExecution objects, including terminal executions, as persistent execution history.</w:t>
      </w:r>
    </w:p>
    <w:p>
      <w:pPr>
        <w:pStyle w:val="ListBullet"/>
      </w:pPr>
      <w:r>
        <w:t>User Task work items and Service external invocations are addressable as persistent GemStone objects internally. Runtime completion/fault operations use the existing semantic owners rather than class-switching in CPBpmService.</w:t>
      </w:r>
    </w:p>
    <w:p>
      <w:pPr>
        <w:pStyle w:val="ListBullet"/>
      </w:pPr>
      <w:r>
        <w:t>Read-only snapshot objects remain useful specifically when state must leave the BPM domain; they are not the internal GemStone object model.</w:t>
      </w:r>
    </w:p>
    <w:p>
      <w:pPr>
        <w:pStyle w:val="Heading2"/>
      </w:pPr>
      <w:r>
        <w:t>10.6 Explicitly open after -41a</w:t>
      </w:r>
    </w:p>
    <w:p>
      <w:pPr>
        <w:pStyle w:val="ListBullet"/>
      </w:pPr>
      <w:r>
        <w:t>Timer-based deployment initiation is not yet implemented. The current timerDueAtFor:armedAt:in: execution-environment contract requires an execution scope, while deployment initiation exists before a CPProcessExecution/scope. Do not pass nil as a fake scope; define the correct deployment/process-level Timer evaluation contract first.</w:t>
      </w:r>
    </w:p>
    <w:p>
      <w:pPr>
        <w:pStyle w:val="ListBullet"/>
      </w:pPr>
      <w:r>
        <w:t>The supplied Runtime source is the GT/Pharo implementation. It proves shared Runtime architecture, not GemStone transaction/durability details. Do not infer GemStone retry/lease semantics from what is absent in the GT source.</w:t>
      </w:r>
    </w:p>
    <w:p>
      <w:pPr>
        <w:pStyle w:val="ListBullet"/>
      </w:pPr>
      <w:r>
        <w:t>Process-level uncaught Error End behavior and any other previously explicit unimplemented BPMN edges should remain visible until source/spec audit closes them.</w:t>
      </w:r>
    </w:p>
    <w:p>
      <w:pPr>
        <w:pStyle w:val="Heading1"/>
      </w:pPr>
      <w:r>
        <w:t>11. Current sprint goal</w:t>
      </w:r>
    </w:p>
    <w:p>
      <w:r>
        <w:t>Continue toward BPMN execution compliance by closing semantic gaps in the execution kernel while preserving the Process/Runtime boundary. The immediate emphasis is correctness of Activity lifecycle, loop semantics, task operational semantics, data visibility, event behavior and completion—not product UI.</w:t>
      </w:r>
    </w:p>
    <w:p>
      <w:r>
        <w:t>The kernel should remain deterministic and persistent, with every externally executed operation represented by durable Process-side semantic state and every state transition owned by BPMN semantics.</w:t>
      </w:r>
    </w:p>
    <w:p>
      <w:pPr>
        <w:pStyle w:val="Heading1"/>
      </w:pPr>
      <w:r>
        <w:t>12. Current completion criteria</w:t>
      </w:r>
    </w:p>
    <w:p>
      <w:pPr>
        <w:pStyle w:val="ListBullet"/>
      </w:pPr>
      <w:r>
        <w:t>All implemented Task types obey their BPMN activation/completion semantics in ordinary, Standard Loop and Multi-Instance forms where those loop forms are valid.</w:t>
      </w:r>
    </w:p>
    <w:p>
      <w:pPr>
        <w:pStyle w:val="ListBullet"/>
      </w:pPr>
      <w:r>
        <w:t>Standard Loop pre-test/post-test behavior, loopMaximum and loopCondition evaluation are exact and tested, including expression context and single evaluation.</w:t>
      </w:r>
    </w:p>
    <w:p>
      <w:pPr>
        <w:pStyle w:val="ListBullet"/>
      </w:pPr>
      <w:r>
        <w:t>Parallel MI cardinality is evaluated once; configured instances are generated before synchronous execution; completionCondition cancels remaining generated instances correctly.</w:t>
      </w:r>
    </w:p>
    <w:p>
      <w:pPr>
        <w:pStyle w:val="ListBullet"/>
      </w:pPr>
      <w:r>
        <w:t>Async task state is durable and identity-safe: message dispatches/subscriptions, service invocations and user work items cannot advance BPMN state twice.</w:t>
      </w:r>
    </w:p>
    <w:p>
      <w:pPr>
        <w:pStyle w:val="ListBullet"/>
      </w:pPr>
      <w:r>
        <w:t>Activity-local, event-local, scope-local and MI per-instance data ownership remain distinct and are visible only at the correct semantic time.</w:t>
      </w:r>
    </w:p>
    <w:p>
      <w:pPr>
        <w:pStyle w:val="ListBullet"/>
      </w:pPr>
      <w:r>
        <w:t>Nested scopes, interruption, error/escalation and compensation preserve exact instance identity and scope visibility.</w:t>
      </w:r>
    </w:p>
    <w:p>
      <w:pPr>
        <w:pStyle w:val="ListBullet"/>
      </w:pPr>
      <w:r>
        <w:t>Runtime integration uses explicit CPBpmService/WorkUnit boundaries plus execution-environment contracts where semantic evaluation or external execution belongs there; Process retains BPMN semantic ownership.</w:t>
      </w:r>
    </w:p>
    <w:p>
      <w:pPr>
        <w:pStyle w:val="ListBullet"/>
      </w:pPr>
      <w:r>
        <w:t>Every increment has GT coverage for lifecycle and identity, not merely object existence.</w:t>
      </w:r>
    </w:p>
    <w:p>
      <w:pPr>
        <w:pStyle w:val="ListBullet"/>
      </w:pPr>
      <w:r>
        <w:t>No compatibility probing with respondsTo:/isKindOf:, no hidden symbol-dispatch configuration, and no SUnit-only deny:/should: usage in GT examples.</w:t>
      </w:r>
    </w:p>
    <w:p>
      <w:pPr>
        <w:pStyle w:val="ListBullet"/>
      </w:pPr>
      <w:r>
        <w:t>Generated Smalltalk source is checked for literal formatting corruption before packaging.</w:t>
      </w:r>
    </w:p>
    <w:p>
      <w:pPr>
        <w:pStyle w:val="Heading1"/>
      </w:pPr>
      <w:r>
        <w:t>13. Immediate continuation point</w:t>
      </w:r>
    </w:p>
    <w:p>
      <w:r>
        <w:t>Continue from Process-Sep21-DeploymentInitiationSubscriptions-41a.zip. Do not resume from an older Runtime/Event-Based-Gateway archive.</w:t>
      </w:r>
    </w:p>
    <w:p>
      <w:pPr>
        <w:pStyle w:val="ListNumber"/>
      </w:pPr>
      <w:r>
        <w:t>The immediate next prerequisite is deployment/process-level Timer evaluation so Timer alternatives can participate in pre-execution initiation without inventing a fake execution scope.</w:t>
      </w:r>
    </w:p>
    <w:p>
      <w:pPr>
        <w:pStyle w:val="ListNumber"/>
      </w:pPr>
      <w:r>
        <w:t>After Timer initiation, perform a fresh source/spec coverage inventory for the remaining BPMN execution-conformance gaps; do not assume the older handover backlog is current.</w:t>
      </w:r>
    </w:p>
    <w:p>
      <w:pPr>
        <w:pStyle w:val="ListNumber"/>
      </w:pPr>
      <w:r>
        <w:t>Prioritize semantic gaps that can invalidate existing behavior across multiple task types before adding new surface area.</w:t>
      </w:r>
    </w:p>
    <w:p>
      <w:pPr>
        <w:pStyle w:val="ListNumber"/>
      </w:pPr>
      <w:r>
        <w:t>Keep the kernel Runtime-unaware. Runtime-facing orchestration belongs in CPBpmService/explicit WorkUnits; expression/timer/resource/service semantics use the execution environment where appropriate. Do not create Process-side substitutes for Runtime workers or scheduling.</w:t>
      </w:r>
    </w:p>
    <w:p>
      <w:pPr>
        <w:pStyle w:val="ListNumber"/>
      </w:pPr>
      <w:r>
        <w:t>After each coherent increment: add focused GT proof, run static hygiene/format scans, package from the latest green baseline, and wait for user-confirmed green before advancing.</w:t>
      </w:r>
    </w:p>
    <w:p>
      <w:pPr>
        <w:pStyle w:val="Heading1"/>
      </w:pPr>
      <w:r>
        <w:t>14. Definition-of-done discipline</w:t>
      </w:r>
    </w:p>
    <w:p>
      <w:pPr>
        <w:pStyle w:val="ListBullet"/>
      </w:pPr>
      <w:r>
        <w:t>Read the exact current source before changing it.</w:t>
      </w:r>
    </w:p>
    <w:p>
      <w:pPr>
        <w:pStyle w:val="ListBullet"/>
      </w:pPr>
      <w:r>
        <w:t>Ground normative or subtle behavior in the supplied BPMN specification.</w:t>
      </w:r>
    </w:p>
    <w:p>
      <w:pPr>
        <w:pStyle w:val="ListBullet"/>
      </w:pPr>
      <w:r>
        <w:t>Implement the smallest coherent semantic increment; do not add speculative abstractions.</w:t>
      </w:r>
    </w:p>
    <w:p>
      <w:pPr>
        <w:pStyle w:val="ListBullet"/>
      </w:pPr>
      <w:r>
        <w:t>Examples are GT examples, not TestCase subclasses. self assert: is valid; do not use deny: or SUnit should:raise:.</w:t>
      </w:r>
    </w:p>
    <w:p>
      <w:pPr>
        <w:pStyle w:val="ListBullet"/>
      </w:pPr>
      <w:r>
        <w:t>For expected errors in examples, use explicit [ ... ] on: Error do:.</w:t>
      </w:r>
    </w:p>
    <w:p>
      <w:pPr>
        <w:pStyle w:val="ListBullet"/>
      </w:pPr>
      <w:r>
        <w:t>When a regression appears, trace the shared invariant and fix the semantic owner rather than weakening the example.</w:t>
      </w:r>
    </w:p>
    <w:p>
      <w:pPr>
        <w:pStyle w:val="ListBullet"/>
      </w:pPr>
      <w:r>
        <w:t>Do not use respondsTo:, isKindOf: or protocol probing as compatibility mechanisms; redesign the boundary instead.</w:t>
      </w:r>
    </w:p>
    <w:p>
      <w:pPr>
        <w:pStyle w:val="ListBullet"/>
      </w:pPr>
      <w:r>
        <w:t>Do not introduce arbitrary symbol-dispatch configuration APIs.</w:t>
      </w:r>
    </w:p>
    <w:p>
      <w:pPr>
        <w:pStyle w:val="ListBullet"/>
      </w:pPr>
      <w:r>
        <w:t>Verify source formatting, prohibited-pattern scans and ZIP integrity before handoff.</w:t>
      </w:r>
    </w:p>
    <w:p>
      <w:pPr>
        <w:pStyle w:val="ListBullet"/>
      </w:pPr>
      <w:r>
        <w:t>Do not claim GemStone green until the user reports it.</w:t>
      </w:r>
    </w:p>
    <w:p>
      <w:pPr>
        <w:pStyle w:val="Heading1"/>
      </w:pPr>
      <w:r>
        <w:t>15. Architectural non-goals / traps</w:t>
      </w:r>
    </w:p>
    <w:p>
      <w:pPr>
        <w:pStyle w:val="ListBullet"/>
      </w:pPr>
      <w:r>
        <w:t>Do not build a second generic process language above BPMN.</w:t>
      </w:r>
    </w:p>
    <w:p>
      <w:pPr>
        <w:pStyle w:val="ListBullet"/>
      </w:pPr>
      <w:r>
        <w:t>Do not make Catalyst Runtime own BPMN Activity lifecycle, event semantics, compensation semantics or Process completion.</w:t>
      </w:r>
    </w:p>
    <w:p>
      <w:pPr>
        <w:pStyle w:val="ListBullet"/>
      </w:pPr>
      <w:r>
        <w:t>Do not turn CPActivityExecution into CRWorkUnitExecution or vice versa.</w:t>
      </w:r>
    </w:p>
    <w:p>
      <w:pPr>
        <w:pStyle w:val="ListBullet"/>
      </w:pPr>
      <w:r>
        <w:t>Do not reintroduce the older token-walker/runtime model as the authority for the new semantic kernel.</w:t>
      </w:r>
    </w:p>
    <w:p>
      <w:pPr>
        <w:pStyle w:val="ListBullet"/>
      </w:pPr>
      <w:r>
        <w:t>Do not add repository/ORM abstractions for ordinary GemStone-persistent state.</w:t>
      </w:r>
    </w:p>
    <w:p>
      <w:pPr>
        <w:pStyle w:val="ListBullet"/>
      </w:pPr>
      <w:r>
        <w:t>Do not solve duplicate control-flow production by suppressing duplicates after the fact; ensure exactly one semantic owner produces continuation.</w:t>
      </w:r>
    </w:p>
    <w:p>
      <w:pPr>
        <w:pStyle w:val="ListBullet"/>
      </w:pPr>
      <w:r>
        <w:t>Do not make Manual Task a User Task. Manual Task is semantic/manual work and is not executed by an IT system.</w:t>
      </w:r>
    </w:p>
    <w:p>
      <w:pPr>
        <w:pStyle w:val="ListBullet"/>
      </w:pPr>
      <w:r>
        <w:t>Do not require all Resource parameters to be BPMN-bound merely because a ResourceParameter is required by some downstream query implementation.</w:t>
      </w:r>
    </w:p>
    <w:p>
      <w:pPr>
        <w:pStyle w:val="Heading1"/>
      </w:pPr>
      <w:r>
        <w:t>16. Rollover instruction</w:t>
      </w:r>
    </w:p>
    <w:p>
      <w:r>
        <w:t>In a fresh context, begin from Process-Sep21-DeploymentInitiationSubscriptions-41a.zip, read the exact source involved in deployment initiation and Timer evaluation, and consult the supplied BPMN specification before making normative claims. Treat this handover as orientation, not as a substitute for source inspection.</w:t>
      </w:r>
    </w:p>
    <w:p>
      <w:r>
        <w:t>The working rule remains: BPMN execution compliance is the north star; Catalyst Process supplies BPMN semantics; Catalyst Runtime executes actual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