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B2BB" w14:textId="60BCE1C0" w:rsidR="001640E4" w:rsidRDefault="008D20E9">
      <w:r>
        <w:t>Notas importantes para informe de lo obtenido en R</w:t>
      </w:r>
    </w:p>
    <w:p w14:paraId="70A9CBF5" w14:textId="578802F6" w:rsidR="008D20E9" w:rsidRPr="008D20E9" w:rsidRDefault="008D20E9">
      <w:pPr>
        <w:rPr>
          <w:b/>
          <w:bCs/>
        </w:rPr>
      </w:pPr>
      <w:r w:rsidRPr="008D20E9">
        <w:rPr>
          <w:b/>
          <w:bCs/>
        </w:rPr>
        <w:t>Matriz principal- correlación</w:t>
      </w:r>
    </w:p>
    <w:p w14:paraId="2567DEBF" w14:textId="77777777" w:rsidR="008D20E9" w:rsidRPr="008D20E9" w:rsidRDefault="008D20E9" w:rsidP="008D20E9">
      <w:pPr>
        <w:rPr>
          <w:b/>
          <w:bCs/>
        </w:rPr>
      </w:pPr>
      <w:r w:rsidRPr="008D20E9">
        <w:rPr>
          <w:b/>
          <w:bCs/>
        </w:rPr>
        <w:t>Lecturas clave de esta matriz</w:t>
      </w:r>
    </w:p>
    <w:p w14:paraId="1CD8FE8F" w14:textId="77777777" w:rsidR="008D20E9" w:rsidRPr="008D20E9" w:rsidRDefault="008D20E9" w:rsidP="008D20E9">
      <w:r w:rsidRPr="008D20E9">
        <w:rPr>
          <w:b/>
          <w:bCs/>
        </w:rPr>
        <w:t>1. Todo está correlacionado positivamente, y bastante fuerte (0.59 a 0.96).</w:t>
      </w:r>
      <w:r w:rsidRPr="008D20E9">
        <w:t xml:space="preserve"> Esto es un patrón típico en encuestas de satisfacción — se le llama "efecto halo": un cliente contento con un aspecto tiende a calificar bien todos los demás, y uno disconforme tiende a calificar mal todo, independiente del aspecto puntual. Vale la pena mencionarlo explícitamente en el informe como una limitación a tener en cuenta al interpretar correlaciones altas — no necesariamente significa que dos servicios estén relacionados operacionalmente, puede ser solo el estado de ánimo general del cliente.</w:t>
      </w:r>
    </w:p>
    <w:p w14:paraId="4BAA7E21" w14:textId="77777777" w:rsidR="008D20E9" w:rsidRPr="008D20E9" w:rsidRDefault="008D20E9" w:rsidP="008D20E9">
      <w:r w:rsidRPr="008D20E9">
        <w:rPr>
          <w:b/>
          <w:bCs/>
        </w:rPr>
        <w:t>2. Dos pares casi redundantes — importante para el clustering que viene después:</w:t>
      </w:r>
    </w:p>
    <w:p w14:paraId="66B58B15" w14:textId="77777777" w:rsidR="008D20E9" w:rsidRPr="008D20E9" w:rsidRDefault="008D20E9" w:rsidP="008D20E9">
      <w:pPr>
        <w:numPr>
          <w:ilvl w:val="0"/>
          <w:numId w:val="1"/>
        </w:numPr>
      </w:pPr>
      <w:r w:rsidRPr="008D20E9">
        <w:t xml:space="preserve">calidad_del_servicio_de_visita_tecnica ↔ claridad_del_informe_de_la_visita_tecnica: </w:t>
      </w:r>
      <w:r w:rsidRPr="008D20E9">
        <w:rPr>
          <w:b/>
          <w:bCs/>
        </w:rPr>
        <w:t>0.96</w:t>
      </w:r>
    </w:p>
    <w:p w14:paraId="5DA58F53" w14:textId="77777777" w:rsidR="008D20E9" w:rsidRPr="008D20E9" w:rsidRDefault="008D20E9" w:rsidP="008D20E9">
      <w:pPr>
        <w:numPr>
          <w:ilvl w:val="0"/>
          <w:numId w:val="1"/>
        </w:numPr>
      </w:pPr>
      <w:r w:rsidRPr="008D20E9">
        <w:t xml:space="preserve">calidad_del_servicio_de_diseno_de_proyectos ↔ calidad_del_servicio_de_ingenieria: </w:t>
      </w:r>
      <w:r w:rsidRPr="008D20E9">
        <w:rPr>
          <w:b/>
          <w:bCs/>
        </w:rPr>
        <w:t>0.92</w:t>
      </w:r>
    </w:p>
    <w:p w14:paraId="3378562B" w14:textId="77777777" w:rsidR="008D20E9" w:rsidRPr="008D20E9" w:rsidRDefault="008D20E9" w:rsidP="008D20E9">
      <w:r w:rsidRPr="008D20E9">
        <w:t>Estas correlaciones son tan altas que las dos variables de cada par están midiendo casi lo mismo (multicolinealidad). Si las metes todas juntas en un clustering o PCA sin tratarlo, esos aspectos van a tener el doble de "peso" que el resto, sesgando los grupos que se formen. Cuando lleguen a esa etapa, conviene o quedarse con una variable de cada par, o promediarlas en un solo índice.</w:t>
      </w:r>
    </w:p>
    <w:p w14:paraId="2A8E827E" w14:textId="77777777" w:rsidR="008D20E9" w:rsidRPr="008D20E9" w:rsidRDefault="008D20E9" w:rsidP="008D20E9">
      <w:r w:rsidRPr="008D20E9">
        <w:rPr>
          <w:b/>
          <w:bCs/>
        </w:rPr>
        <w:t>3. recomendacion (la variable clave del negocio, tipo NPS) correlaciona más fuerte con:</w:t>
      </w:r>
    </w:p>
    <w:p w14:paraId="3830F191" w14:textId="77777777" w:rsidR="008D20E9" w:rsidRPr="008D20E9" w:rsidRDefault="008D20E9" w:rsidP="008D20E9">
      <w:pPr>
        <w:numPr>
          <w:ilvl w:val="0"/>
          <w:numId w:val="2"/>
        </w:numPr>
      </w:pPr>
      <w:r w:rsidRPr="008D20E9">
        <w:t>servicios_de_scaff_co_en_general (0.78)</w:t>
      </w:r>
    </w:p>
    <w:p w14:paraId="48B020B1" w14:textId="77777777" w:rsidR="008D20E9" w:rsidRPr="008D20E9" w:rsidRDefault="008D20E9" w:rsidP="008D20E9">
      <w:pPr>
        <w:numPr>
          <w:ilvl w:val="0"/>
          <w:numId w:val="2"/>
        </w:numPr>
      </w:pPr>
      <w:r w:rsidRPr="008D20E9">
        <w:t>claridad_del_informe_de_la_visita_tecnica (0.78)</w:t>
      </w:r>
    </w:p>
    <w:p w14:paraId="27E2F80D" w14:textId="77777777" w:rsidR="008D20E9" w:rsidRPr="008D20E9" w:rsidRDefault="008D20E9" w:rsidP="008D20E9">
      <w:pPr>
        <w:numPr>
          <w:ilvl w:val="0"/>
          <w:numId w:val="2"/>
        </w:numPr>
      </w:pPr>
      <w:r w:rsidRPr="008D20E9">
        <w:t>facilidad_para_coordinar_y_realizar_devolucion_de_equipos_en_arriendo (0.77)</w:t>
      </w:r>
    </w:p>
    <w:p w14:paraId="4952C4B8" w14:textId="77777777" w:rsidR="008D20E9" w:rsidRPr="008D20E9" w:rsidRDefault="008D20E9" w:rsidP="008D20E9">
      <w:r w:rsidRPr="008D20E9">
        <w:t>Esto es un buen insumo directo para la sección 8 (Recomendaciones): sugiere que la satisfacción general del servicio y la logística de devolución de equipos son los factores más asociados a que un cliente recomiende ScaffCo — un ángulo de negocio concreto para el informe.</w:t>
      </w:r>
    </w:p>
    <w:p w14:paraId="5306B6CB" w14:textId="76F27531" w:rsidR="008D20E9" w:rsidRPr="008D20E9" w:rsidRDefault="008D20E9">
      <w:pPr>
        <w:rPr>
          <w:b/>
          <w:bCs/>
        </w:rPr>
      </w:pPr>
      <w:r w:rsidRPr="008D20E9">
        <w:rPr>
          <w:b/>
          <w:bCs/>
        </w:rPr>
        <w:lastRenderedPageBreak/>
        <w:t>Matriz WebScaff/CapScaff</w:t>
      </w:r>
    </w:p>
    <w:p w14:paraId="24A4BF88" w14:textId="4BFFEDB0" w:rsidR="008D20E9" w:rsidRDefault="008D20E9">
      <w:r w:rsidRPr="008D20E9">
        <w:t>Las correlaciones entre satisfaccion_webscaff y satisfaccion_capscaff se calcularon sobre un subgrupo reducido de clientes que usan estas plataformas digitales (n=41 a 63 casos según el par), por lo que se interpretan como un hallazgo exploratorio y no con el mismo nivel de confianza que las correlaciones de las 17 variables generales.</w:t>
      </w:r>
    </w:p>
    <w:p w14:paraId="384D3805" w14:textId="45005F6B" w:rsidR="003D6273" w:rsidRDefault="003D6273">
      <w:pPr>
        <w:rPr>
          <w:b/>
          <w:bCs/>
        </w:rPr>
      </w:pPr>
      <w:r>
        <w:rPr>
          <w:b/>
          <w:bCs/>
        </w:rPr>
        <w:t>Distribución individual de las 19 variables numéricas</w:t>
      </w:r>
    </w:p>
    <w:p w14:paraId="461A316A" w14:textId="77777777" w:rsidR="003D6273" w:rsidRPr="003D6273" w:rsidRDefault="003D6273" w:rsidP="003D6273">
      <w:r w:rsidRPr="003D6273">
        <w:t>Excelente, se ve tal como esperábamos — patrón consistente de "techo" en las</w:t>
      </w:r>
      <w:r w:rsidRPr="003D6273">
        <w:rPr>
          <w:b/>
          <w:bCs/>
        </w:rPr>
        <w:t xml:space="preserve"> </w:t>
      </w:r>
      <w:r w:rsidRPr="003D6273">
        <w:t>19 variables, con la barra del 7 dominando casi todas. Un par de lecturas puntuales de lo que se ve en las imágenes:</w:t>
      </w:r>
    </w:p>
    <w:p w14:paraId="75E68346" w14:textId="77777777" w:rsidR="003D6273" w:rsidRPr="003D6273" w:rsidRDefault="003D6273" w:rsidP="003D6273">
      <w:r w:rsidRPr="003D6273">
        <w:t>precio_calidad es visualmente distinta al resto — es la única donde la barra del 6 es casi igual de alta que la del 7 (en vez de que el 7 domine claramente como en las demás). Coincide con el número que ya habíamos calculado (37.9% en 7, la más baja de las 19) — el precio es, comparativamente, el aspecto donde los clientes están "muy satisfechos" con menos frecuencia, aunque tampoco están insatisfechos, se quedan más en el escalón intermedio-alto (6) en vez del máximo.</w:t>
      </w:r>
    </w:p>
    <w:p w14:paraId="2747177B" w14:textId="77777777" w:rsidR="003D6273" w:rsidRPr="003D6273" w:rsidRDefault="003D6273" w:rsidP="003D6273">
      <w:r w:rsidRPr="003D6273">
        <w:t>satisfaccion_capscaff tiene barras muy bajas en general (nota el eje Y: máximo ~35, mientras el resto llega a 200+) — es solo un recordatorio visual de que esta variable tiene muy pocos datos (63 respuestas), así que aunque el patrón se vea igual de "techo", está basado en mucha menos evidencia que el resto.</w:t>
      </w:r>
    </w:p>
    <w:p w14:paraId="6D5C97AE" w14:textId="77777777" w:rsidR="003D6273" w:rsidRPr="003D6273" w:rsidRDefault="003D6273" w:rsidP="003D6273">
      <w:r w:rsidRPr="003D6273">
        <w:t>En general, todas comparten la misma forma: muy pocas respuestas en 1-4, un salto en 5, y la mayoría concentrada en 6-7. Esto confirma lo que ya conversamos — con este nivel de "efecto techo", el clustering probablemente no va a encontrar grupos por tipo de servicio, sino más bien un eje de "más contento" vs "menos contento" en general.</w:t>
      </w:r>
    </w:p>
    <w:p w14:paraId="11D691D8" w14:textId="064C53AC" w:rsidR="003D6273" w:rsidRDefault="00687C0C">
      <w:pPr>
        <w:rPr>
          <w:b/>
          <w:bCs/>
        </w:rPr>
      </w:pPr>
      <w:r w:rsidRPr="00687C0C">
        <w:rPr>
          <w:b/>
          <w:bCs/>
        </w:rPr>
        <w:t>PCA</w:t>
      </w:r>
    </w:p>
    <w:p w14:paraId="66391055" w14:textId="4F993A23" w:rsidR="00687C0C" w:rsidRDefault="00687C0C">
      <w:pPr>
        <w:rPr>
          <w:b/>
          <w:bCs/>
        </w:rPr>
      </w:pPr>
      <w:r>
        <w:rPr>
          <w:b/>
          <w:bCs/>
        </w:rPr>
        <w:t>Varianza explicada por componente</w:t>
      </w:r>
    </w:p>
    <w:p w14:paraId="57476B20" w14:textId="77777777" w:rsidR="00687C0C" w:rsidRPr="00687C0C" w:rsidRDefault="00687C0C" w:rsidP="00687C0C">
      <w:r w:rsidRPr="00687C0C">
        <w:rPr>
          <w:b/>
          <w:bCs/>
        </w:rPr>
        <w:t>PC1 explica 76.7%</w:t>
      </w:r>
      <w:r w:rsidRPr="00687C0C">
        <w:t xml:space="preserve"> de la varianza él solo, y después la caída es abrupta (el "codo" del scree plot está clarísimo, justo en el primer componente). Los demás componentes se reparten el ~23% restante en fracciones chicas.</w:t>
      </w:r>
    </w:p>
    <w:p w14:paraId="69E599E4" w14:textId="77777777" w:rsidR="00687C0C" w:rsidRPr="00687C0C" w:rsidRDefault="00687C0C" w:rsidP="00687C0C">
      <w:r w:rsidRPr="00687C0C">
        <w:t>Qué significa esto en palabras simples</w:t>
      </w:r>
      <w:r w:rsidRPr="00687C0C">
        <w:rPr>
          <w:b/>
          <w:bCs/>
        </w:rPr>
        <w:t>:</w:t>
      </w:r>
      <w:r w:rsidRPr="00687C0C">
        <w:t xml:space="preserve"> de las 17 variables, casi toda la información se puede resumir en un solo número — básicamente "qué tan contento está el cliente en general". Es la confirmación cuantitativa del efecto halo que ya habíamos visto en </w:t>
      </w:r>
      <w:r w:rsidRPr="00687C0C">
        <w:lastRenderedPageBreak/>
        <w:t>la matriz de correlación (todas esas correlaciones de 0.6-0.9 entre variables no relacionadas directamente).</w:t>
      </w:r>
    </w:p>
    <w:p w14:paraId="08D213D1" w14:textId="31803455" w:rsidR="00687C0C" w:rsidRDefault="00687C0C">
      <w:pPr>
        <w:rPr>
          <w:b/>
          <w:bCs/>
        </w:rPr>
      </w:pPr>
      <w:r>
        <w:rPr>
          <w:b/>
          <w:bCs/>
        </w:rPr>
        <w:t>Como contribuyen las variables originales a los primeros componentes</w:t>
      </w:r>
    </w:p>
    <w:p w14:paraId="0B2A2B8B" w14:textId="7C321BA3" w:rsidR="00687C0C" w:rsidRDefault="00687C0C">
      <w:r w:rsidRPr="00687C0C">
        <w:t>Se observa que la gran mayoría de las variables apuntan en una dirección similar sobre PC1, lo que confirma el efecto de correlación generalizada (halo) ya identificado en la matriz de correlación: las variables no se comportan como dimensiones independientes, sino como reflejo de un mismo eje de satisfacción general.</w:t>
      </w:r>
    </w:p>
    <w:p w14:paraId="1D3E3BE7" w14:textId="5664981E" w:rsidR="00B9189C" w:rsidRPr="00B9189C" w:rsidRDefault="00B9189C">
      <w:pPr>
        <w:rPr>
          <w:b/>
          <w:bCs/>
          <w:u w:val="single"/>
        </w:rPr>
      </w:pPr>
      <w:r>
        <w:rPr>
          <w:b/>
          <w:bCs/>
          <w:u w:val="single"/>
        </w:rPr>
        <w:t>K-means</w:t>
      </w:r>
    </w:p>
    <w:p w14:paraId="1FD443E1" w14:textId="77777777" w:rsidR="00B9189C" w:rsidRPr="00B9189C" w:rsidRDefault="00B9189C" w:rsidP="00B9189C">
      <w:pPr>
        <w:rPr>
          <w:b/>
          <w:bCs/>
        </w:rPr>
      </w:pPr>
      <w:r w:rsidRPr="00B9189C">
        <w:rPr>
          <w:b/>
          <w:bCs/>
        </w:rPr>
        <w:t>1. Por qué llegamos a necesitar esto (el punto de partida)</w:t>
      </w:r>
    </w:p>
    <w:p w14:paraId="2D3CC6C9" w14:textId="77777777" w:rsidR="00B9189C" w:rsidRPr="00B9189C" w:rsidRDefault="00B9189C" w:rsidP="00B9189C">
      <w:r w:rsidRPr="00B9189C">
        <w:t xml:space="preserve">Antes de clusterizar, vimos en la matriz de correlación que las 17 variables numéricas generales estaban todas muy correlacionadas entre sí (0.6 a 0.96) — el llamado "efecto halo": un cliente contento tiende a calificar bien </w:t>
      </w:r>
      <w:r w:rsidRPr="00B9189C">
        <w:rPr>
          <w:i/>
          <w:iCs/>
        </w:rPr>
        <w:t>todo</w:t>
      </w:r>
      <w:r w:rsidRPr="00B9189C">
        <w:t xml:space="preserve">, y uno disconforme tiende a calificar mal </w:t>
      </w:r>
      <w:r w:rsidRPr="00B9189C">
        <w:rPr>
          <w:i/>
          <w:iCs/>
        </w:rPr>
        <w:t>todo</w:t>
      </w:r>
      <w:r w:rsidRPr="00B9189C">
        <w:t>, sin que eso signifique necesariamente que los servicios estén relacionados operacionalmente. Si metíamos las 17 variables tal cual a un K-means, los pares casi redundantes (visita técnica/claridad del informe, diseño/ingeniería) iban a pesar el doble que el resto, sesgando el resultado.</w:t>
      </w:r>
    </w:p>
    <w:p w14:paraId="0FA2E1C4" w14:textId="77777777" w:rsidR="00B9189C" w:rsidRPr="00B9189C" w:rsidRDefault="00B9189C" w:rsidP="00B9189C">
      <w:pPr>
        <w:rPr>
          <w:b/>
          <w:bCs/>
        </w:rPr>
      </w:pPr>
      <w:r w:rsidRPr="00B9189C">
        <w:rPr>
          <w:b/>
          <w:bCs/>
        </w:rPr>
        <w:t>2. Por qué usamos PCA primero</w:t>
      </w:r>
    </w:p>
    <w:p w14:paraId="76BBE063" w14:textId="77777777" w:rsidR="00B9189C" w:rsidRPr="00B9189C" w:rsidRDefault="00B9189C" w:rsidP="00B9189C">
      <w:r w:rsidRPr="00B9189C">
        <w:t xml:space="preserve">El PCA resume las 17 variables en componentes nuevos, no correlacionados entre sí, ordenados de mayor a menor cantidad de información que capturan. Al correrlo, encontramos que </w:t>
      </w:r>
      <w:r w:rsidRPr="00B9189C">
        <w:rPr>
          <w:b/>
          <w:bCs/>
        </w:rPr>
        <w:t>el primer componente (PC1) explica 76.7% de toda la varianza él solo</w:t>
      </w:r>
      <w:r w:rsidRPr="00B9189C">
        <w:t>. Esto confirmó en números el efecto halo: casi toda la información de las 17 variables se reduce a un solo eje, que interpretamos como "nivel de satisfacción general del cliente".</w:t>
      </w:r>
    </w:p>
    <w:p w14:paraId="209C1B0C" w14:textId="77777777" w:rsidR="00B9189C" w:rsidRPr="00B9189C" w:rsidRDefault="00B9189C" w:rsidP="00B9189C">
      <w:pPr>
        <w:rPr>
          <w:b/>
          <w:bCs/>
        </w:rPr>
      </w:pPr>
      <w:r w:rsidRPr="00B9189C">
        <w:rPr>
          <w:b/>
          <w:bCs/>
        </w:rPr>
        <w:t>3. Por qué elegimos 2 componentes (no 1, no más)</w:t>
      </w:r>
    </w:p>
    <w:p w14:paraId="1FC65030" w14:textId="77777777" w:rsidR="00B9189C" w:rsidRPr="00B9189C" w:rsidRDefault="00B9189C" w:rsidP="00B9189C">
      <w:r w:rsidRPr="00B9189C">
        <w:t xml:space="preserve">El criterio estadístico estricto (Kaiser, quedarse solo con componentes que aportan más información que una variable individual) decía que bastaba con </w:t>
      </w:r>
      <w:r w:rsidRPr="00B9189C">
        <w:rPr>
          <w:b/>
          <w:bCs/>
        </w:rPr>
        <w:t>1 componente</w:t>
      </w:r>
      <w:r w:rsidRPr="00B9189C">
        <w:t xml:space="preserve">. Pero con 1 solo componente no se puede graficar en un plano — decidimos usar </w:t>
      </w:r>
      <w:r w:rsidRPr="00B9189C">
        <w:rPr>
          <w:b/>
          <w:bCs/>
        </w:rPr>
        <w:t>2 componentes (82% de la varianza acumulada)</w:t>
      </w:r>
      <w:r w:rsidRPr="00B9189C">
        <w:t xml:space="preserve"> como compromiso práctico: casi no perdemos información relevante, y ganamos la posibilidad de visualizar los clusters.</w:t>
      </w:r>
    </w:p>
    <w:p w14:paraId="15FEF717" w14:textId="77777777" w:rsidR="00B9189C" w:rsidRPr="00B9189C" w:rsidRDefault="00B9189C" w:rsidP="00B9189C">
      <w:pPr>
        <w:rPr>
          <w:b/>
          <w:bCs/>
        </w:rPr>
      </w:pPr>
      <w:r w:rsidRPr="00B9189C">
        <w:rPr>
          <w:b/>
          <w:bCs/>
        </w:rPr>
        <w:t>4. Por qué elegimos k=2 (no 3, no más)</w:t>
      </w:r>
    </w:p>
    <w:p w14:paraId="7159E2ED" w14:textId="77777777" w:rsidR="00B9189C" w:rsidRPr="00B9189C" w:rsidRDefault="00B9189C" w:rsidP="00B9189C">
      <w:r w:rsidRPr="00B9189C">
        <w:t xml:space="preserve">Para decidir cuántos grupos armar, usamos el </w:t>
      </w:r>
      <w:r w:rsidRPr="00B9189C">
        <w:rPr>
          <w:b/>
          <w:bCs/>
        </w:rPr>
        <w:t>coeficiente de silueta</w:t>
      </w:r>
      <w:r w:rsidRPr="00B9189C">
        <w:t xml:space="preserve"> — mide qué tan bien separados y compactos quedan los clusters para cada valor de k. El resultado </w:t>
      </w:r>
      <w:r w:rsidRPr="00B9189C">
        <w:lastRenderedPageBreak/>
        <w:t>fue contundente: k=2 dio 0.82 (excelente), y cayó fuerte a 0.61 en k=3 y siguió bajando después. Una caída tan grande significa que forzar un tercer grupo no encuentra una frontera real en los datos, solo divide arbitrariamente un grupo que ya estaba bien unido. Por eso nos quedamos con k=2, priorizando lo que los datos mostraban por sobre tener "más categorías" para la narrativa.</w:t>
      </w:r>
    </w:p>
    <w:p w14:paraId="2063996F" w14:textId="77777777" w:rsidR="00B9189C" w:rsidRPr="00B9189C" w:rsidRDefault="00B9189C" w:rsidP="00B9189C">
      <w:pPr>
        <w:rPr>
          <w:b/>
          <w:bCs/>
        </w:rPr>
      </w:pPr>
      <w:r w:rsidRPr="00B9189C">
        <w:rPr>
          <w:b/>
          <w:bCs/>
        </w:rPr>
        <w:t>5. Qué hace el modelo final</w:t>
      </w:r>
    </w:p>
    <w:p w14:paraId="2801EA34" w14:textId="77777777" w:rsidR="00B9189C" w:rsidRPr="00B9189C" w:rsidRDefault="00B9189C" w:rsidP="00B9189C">
      <w:r w:rsidRPr="00B9189C">
        <w:t>kmeans(scores, centers = 2, nstart = 25) toma las coordenadas de cada cliente en los 2 componentes principales y los agrupa en 2 clusters, minimizando la distancia de cada punto a su centro de grupo. nstart = 25 significa que el algoritmo prueba 25 puntos de partida distintos y se queda con el mejor resultado, para no depender de un inicio aleatorio desafortunado. set.seed(123) asegura que el resultado sea reproducible (si otra persona corre el mismo código, le da exactamente lo mismo).</w:t>
      </w:r>
    </w:p>
    <w:p w14:paraId="6C828D2D" w14:textId="77777777" w:rsidR="00B9189C" w:rsidRPr="00B9189C" w:rsidRDefault="00B9189C" w:rsidP="00B9189C">
      <w:pPr>
        <w:rPr>
          <w:b/>
          <w:bCs/>
        </w:rPr>
      </w:pPr>
      <w:r w:rsidRPr="00B9189C">
        <w:rPr>
          <w:b/>
          <w:bCs/>
        </w:rPr>
        <w:t>6. Qué salió y qué significa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277"/>
        <w:gridCol w:w="5757"/>
      </w:tblGrid>
      <w:tr w:rsidR="00B9189C" w:rsidRPr="00B9189C" w14:paraId="1EFB336E" w14:textId="77777777">
        <w:trPr>
          <w:tblHeader/>
          <w:tblCellSpacing w:w="15" w:type="dxa"/>
        </w:trPr>
        <w:tc>
          <w:tcPr>
            <w:tcW w:w="0" w:type="auto"/>
            <w:vAlign w:val="center"/>
            <w:hideMark/>
          </w:tcPr>
          <w:p w14:paraId="676EF1B4" w14:textId="77777777" w:rsidR="00B9189C" w:rsidRPr="00B9189C" w:rsidRDefault="00B9189C" w:rsidP="00B9189C">
            <w:pPr>
              <w:rPr>
                <w:b/>
                <w:bCs/>
              </w:rPr>
            </w:pPr>
            <w:r w:rsidRPr="00B9189C">
              <w:rPr>
                <w:b/>
                <w:bCs/>
              </w:rPr>
              <w:t>Cluster</w:t>
            </w:r>
          </w:p>
        </w:tc>
        <w:tc>
          <w:tcPr>
            <w:tcW w:w="0" w:type="auto"/>
            <w:vAlign w:val="center"/>
            <w:hideMark/>
          </w:tcPr>
          <w:p w14:paraId="263B780F" w14:textId="77777777" w:rsidR="00B9189C" w:rsidRPr="00B9189C" w:rsidRDefault="00B9189C" w:rsidP="00B9189C">
            <w:pPr>
              <w:rPr>
                <w:b/>
                <w:bCs/>
              </w:rPr>
            </w:pPr>
            <w:r w:rsidRPr="00B9189C">
              <w:rPr>
                <w:b/>
                <w:bCs/>
              </w:rPr>
              <w:t>n</w:t>
            </w:r>
          </w:p>
        </w:tc>
        <w:tc>
          <w:tcPr>
            <w:tcW w:w="0" w:type="auto"/>
            <w:vAlign w:val="center"/>
            <w:hideMark/>
          </w:tcPr>
          <w:p w14:paraId="52799FFB" w14:textId="77777777" w:rsidR="00B9189C" w:rsidRPr="00B9189C" w:rsidRDefault="00B9189C" w:rsidP="00B9189C">
            <w:pPr>
              <w:rPr>
                <w:b/>
                <w:bCs/>
              </w:rPr>
            </w:pPr>
            <w:r w:rsidRPr="00B9189C">
              <w:rPr>
                <w:b/>
                <w:bCs/>
              </w:rPr>
              <w:t>Perfil</w:t>
            </w:r>
          </w:p>
        </w:tc>
      </w:tr>
      <w:tr w:rsidR="00B9189C" w:rsidRPr="00B9189C" w14:paraId="0C3D0F21" w14:textId="77777777">
        <w:trPr>
          <w:tblCellSpacing w:w="15" w:type="dxa"/>
        </w:trPr>
        <w:tc>
          <w:tcPr>
            <w:tcW w:w="0" w:type="auto"/>
            <w:vAlign w:val="center"/>
            <w:hideMark/>
          </w:tcPr>
          <w:p w14:paraId="25F0D53C" w14:textId="77777777" w:rsidR="00B9189C" w:rsidRPr="00B9189C" w:rsidRDefault="00B9189C" w:rsidP="00B9189C">
            <w:r w:rsidRPr="00B9189C">
              <w:rPr>
                <w:b/>
                <w:bCs/>
              </w:rPr>
              <w:t>1 — En riesgo</w:t>
            </w:r>
          </w:p>
        </w:tc>
        <w:tc>
          <w:tcPr>
            <w:tcW w:w="0" w:type="auto"/>
            <w:vAlign w:val="center"/>
            <w:hideMark/>
          </w:tcPr>
          <w:p w14:paraId="23312335" w14:textId="77777777" w:rsidR="00B9189C" w:rsidRPr="00B9189C" w:rsidRDefault="00B9189C" w:rsidP="00B9189C">
            <w:r w:rsidRPr="00B9189C">
              <w:t>9 (3.5%)</w:t>
            </w:r>
          </w:p>
        </w:tc>
        <w:tc>
          <w:tcPr>
            <w:tcW w:w="0" w:type="auto"/>
            <w:vAlign w:val="center"/>
            <w:hideMark/>
          </w:tcPr>
          <w:p w14:paraId="2F207BE0" w14:textId="77777777" w:rsidR="00B9189C" w:rsidRPr="00B9189C" w:rsidRDefault="00B9189C" w:rsidP="00B9189C">
            <w:r w:rsidRPr="00B9189C">
              <w:t>Notas de 1.7 a 3.1 en absolutamente todas las variables</w:t>
            </w:r>
          </w:p>
        </w:tc>
      </w:tr>
      <w:tr w:rsidR="00B9189C" w:rsidRPr="00B9189C" w14:paraId="692653FD" w14:textId="77777777">
        <w:trPr>
          <w:tblCellSpacing w:w="15" w:type="dxa"/>
        </w:trPr>
        <w:tc>
          <w:tcPr>
            <w:tcW w:w="0" w:type="auto"/>
            <w:vAlign w:val="center"/>
            <w:hideMark/>
          </w:tcPr>
          <w:p w14:paraId="1D7A14CC" w14:textId="77777777" w:rsidR="00B9189C" w:rsidRPr="00B9189C" w:rsidRDefault="00B9189C" w:rsidP="00B9189C">
            <w:r w:rsidRPr="00B9189C">
              <w:rPr>
                <w:b/>
                <w:bCs/>
              </w:rPr>
              <w:t>2 — Satisfechos</w:t>
            </w:r>
          </w:p>
        </w:tc>
        <w:tc>
          <w:tcPr>
            <w:tcW w:w="0" w:type="auto"/>
            <w:vAlign w:val="center"/>
            <w:hideMark/>
          </w:tcPr>
          <w:p w14:paraId="6F7C853D" w14:textId="77777777" w:rsidR="00B9189C" w:rsidRPr="00B9189C" w:rsidRDefault="00B9189C" w:rsidP="00B9189C">
            <w:r w:rsidRPr="00B9189C">
              <w:t>251 (96.5%)</w:t>
            </w:r>
          </w:p>
        </w:tc>
        <w:tc>
          <w:tcPr>
            <w:tcW w:w="0" w:type="auto"/>
            <w:vAlign w:val="center"/>
            <w:hideMark/>
          </w:tcPr>
          <w:p w14:paraId="171058AB" w14:textId="77777777" w:rsidR="00B9189C" w:rsidRPr="00B9189C" w:rsidRDefault="00B9189C" w:rsidP="00B9189C">
            <w:r w:rsidRPr="00B9189C">
              <w:t>Notas de 6.2 a 6.7 en todo</w:t>
            </w:r>
          </w:p>
        </w:tc>
      </w:tr>
    </w:tbl>
    <w:p w14:paraId="7E70EFC4" w14:textId="77777777" w:rsidR="00B9189C" w:rsidRPr="00B9189C" w:rsidRDefault="00B9189C" w:rsidP="00B9189C">
      <w:r w:rsidRPr="00B9189C">
        <w:t xml:space="preserve">No es una separación sutil — son dos polos completamente opuestos, sin zona gris entre ellos (por eso la silueta era tan alta). Al cruzarlo con rol_proyecto, vimos que el cluster 1 no se concentra en ningún cargo en particular — está repartido entre Administrador de Obra, Gerente de Proyecto, Jefe de Obra, etc. — es decir, </w:t>
      </w:r>
      <w:r w:rsidRPr="00B9189C">
        <w:rPr>
          <w:b/>
          <w:bCs/>
        </w:rPr>
        <w:t>la insatisfacción crítica es transversal, no es un problema de un tipo de cliente específico</w:t>
      </w:r>
      <w:r w:rsidRPr="00B9189C">
        <w:t>.</w:t>
      </w:r>
    </w:p>
    <w:p w14:paraId="4DAB30C2" w14:textId="77777777" w:rsidR="00B9189C" w:rsidRPr="00B9189C" w:rsidRDefault="00B9189C" w:rsidP="00B9189C">
      <w:pPr>
        <w:rPr>
          <w:b/>
          <w:bCs/>
        </w:rPr>
      </w:pPr>
      <w:r w:rsidRPr="00B9189C">
        <w:rPr>
          <w:b/>
          <w:bCs/>
        </w:rPr>
        <w:t>7. La lectura de negocio final</w:t>
      </w:r>
    </w:p>
    <w:p w14:paraId="65E2C2F6" w14:textId="336C1739" w:rsidR="00BD6940" w:rsidRDefault="00B9189C" w:rsidP="00B9189C">
      <w:r w:rsidRPr="00B9189C">
        <w:t xml:space="preserve">El hallazgo central no es "hay que mejorar el servicio X" (porque el cluster 1 califica mal </w:t>
      </w:r>
      <w:r w:rsidRPr="00B9189C">
        <w:rPr>
          <w:i/>
          <w:iCs/>
        </w:rPr>
        <w:t>todo</w:t>
      </w:r>
      <w:r w:rsidRPr="00B9189C">
        <w:t xml:space="preserve"> por igual, no un aspecto puntual). El hallazgo es: </w:t>
      </w:r>
      <w:r w:rsidRPr="00B9189C">
        <w:rPr>
          <w:b/>
          <w:bCs/>
        </w:rPr>
        <w:t>existe un grupo pequeño pero claramente identificable de clientes (~3.5% de la muestra analizada) en una situación de insatisfacción generalizada y alto riesgo de no recomendar o abandonar</w:t>
      </w:r>
      <w:r w:rsidRPr="00B9189C">
        <w:t xml:space="preserve">, y como no comparten un perfil de cargo común, la señal de alerta tendría que basarse en el patrón de respuestas (notas bajas parejas), no en el tipo de cliente. Es un insumo directo para una recomendación de negocio tipo "programa de </w:t>
      </w:r>
      <w:r w:rsidRPr="00B9189C">
        <w:lastRenderedPageBreak/>
        <w:t>detección y seguimiento proactivo para clientes con satisfacción crítica generalizada", más que ajustes específicos por área de servicio.</w:t>
      </w:r>
    </w:p>
    <w:p w14:paraId="72A40608" w14:textId="68412147" w:rsidR="00BD6940" w:rsidRDefault="00BD6940" w:rsidP="00B9189C">
      <w:pPr>
        <w:rPr>
          <w:b/>
          <w:bCs/>
          <w:u w:val="single"/>
        </w:rPr>
      </w:pPr>
      <w:r>
        <w:rPr>
          <w:b/>
          <w:bCs/>
          <w:u w:val="single"/>
        </w:rPr>
        <w:t>CAMBIO EN CATEGORIA OTROS PARA CLASIFICACION DE ROLES</w:t>
      </w:r>
    </w:p>
    <w:p w14:paraId="6592850F" w14:textId="77777777" w:rsidR="00BD6940" w:rsidRPr="00BD6940" w:rsidRDefault="00BD6940" w:rsidP="00BD6940">
      <w:r w:rsidRPr="00BD6940">
        <w:t>Para el informe, vale la pena una nota breve en 4.3 dejando esto documentado, algo así:</w:t>
      </w:r>
    </w:p>
    <w:p w14:paraId="41077FF1" w14:textId="77777777" w:rsidR="00BD6940" w:rsidRDefault="00BD6940" w:rsidP="00BD6940">
      <w:r w:rsidRPr="00BD6940">
        <w:t xml:space="preserve">De las 56 respuestas de texto libre bajo "Otros (especifique)" en </w:t>
      </w:r>
      <w:proofErr w:type="spellStart"/>
      <w:r w:rsidRPr="00BD6940">
        <w:t>rol_proyecto</w:t>
      </w:r>
      <w:proofErr w:type="spellEnd"/>
      <w:r w:rsidRPr="00BD6940">
        <w:t>, se reclasificaron 26 en 9 categorías con sentido de negocio mediante coincidencia de palabras clave (</w:t>
      </w:r>
      <w:proofErr w:type="spellStart"/>
      <w:r w:rsidRPr="00BD6940">
        <w:t>case_when</w:t>
      </w:r>
      <w:proofErr w:type="spellEnd"/>
      <w:r w:rsidRPr="00BD6940">
        <w:t xml:space="preserve"> + </w:t>
      </w:r>
      <w:proofErr w:type="spellStart"/>
      <w:r w:rsidRPr="00BD6940">
        <w:t>str_detect</w:t>
      </w:r>
      <w:proofErr w:type="spellEnd"/>
      <w:r w:rsidRPr="00BD6940">
        <w:t xml:space="preserve">). </w:t>
      </w:r>
      <w:proofErr w:type="gramStart"/>
      <w:r w:rsidRPr="00BD6940">
        <w:t>Las 30 restantes</w:t>
      </w:r>
      <w:proofErr w:type="gramEnd"/>
      <w:r w:rsidRPr="00BD6940">
        <w:t xml:space="preserve"> correspondían a textos ambiguos o sin información suficiente para clasificar con certeza (ej. respuestas vacías, de una sola palabra genérica, o cargos no identificables), y se mantuvieron agrupadas en "Otros".</w:t>
      </w:r>
    </w:p>
    <w:p w14:paraId="39D29883" w14:textId="77777777" w:rsidR="00810C6E" w:rsidRDefault="00810C6E" w:rsidP="00810C6E">
      <w:pPr>
        <w:rPr>
          <w:b/>
          <w:bCs/>
          <w:u w:val="single"/>
        </w:rPr>
      </w:pPr>
      <w:r>
        <w:rPr>
          <w:b/>
          <w:bCs/>
          <w:u w:val="single"/>
        </w:rPr>
        <w:t xml:space="preserve">CRUCE CON ROL DE PROYECTO </w:t>
      </w:r>
    </w:p>
    <w:p w14:paraId="36EEBCE3" w14:textId="711E7DF2" w:rsidR="00810C6E" w:rsidRPr="00810C6E" w:rsidRDefault="00810C6E" w:rsidP="00810C6E">
      <w:r w:rsidRPr="00810C6E">
        <w:t xml:space="preserve">Estructura: cruza los 2 </w:t>
      </w:r>
      <w:proofErr w:type="spellStart"/>
      <w:proofErr w:type="gramStart"/>
      <w:r w:rsidRPr="00810C6E">
        <w:t>clusters</w:t>
      </w:r>
      <w:proofErr w:type="spellEnd"/>
      <w:proofErr w:type="gramEnd"/>
      <w:r w:rsidRPr="00810C6E">
        <w:t xml:space="preserve"> de satisfacción (encontrados con PCA + K-</w:t>
      </w:r>
      <w:proofErr w:type="spellStart"/>
      <w:r w:rsidRPr="00810C6E">
        <w:t>means</w:t>
      </w:r>
      <w:proofErr w:type="spellEnd"/>
      <w:r w:rsidRPr="00810C6E">
        <w:t xml:space="preserve">) con el rol del cliente dentro del proyecto, mostrando cuántas personas de cada rol cayeron en cada </w:t>
      </w:r>
      <w:proofErr w:type="spellStart"/>
      <w:proofErr w:type="gramStart"/>
      <w:r w:rsidRPr="00810C6E">
        <w:t>cluster</w:t>
      </w:r>
      <w:proofErr w:type="spellEnd"/>
      <w:proofErr w:type="gramEnd"/>
      <w:r w:rsidRPr="00810C6E">
        <w:t>.</w:t>
      </w:r>
    </w:p>
    <w:p w14:paraId="7FD12FB2" w14:textId="77777777" w:rsidR="00810C6E" w:rsidRPr="00810C6E" w:rsidRDefault="00810C6E" w:rsidP="00810C6E">
      <w:r w:rsidRPr="00810C6E">
        <w:t xml:space="preserve">Lo principal que confirma: el </w:t>
      </w:r>
      <w:proofErr w:type="spellStart"/>
      <w:proofErr w:type="gramStart"/>
      <w:r w:rsidRPr="00810C6E">
        <w:t>cluster</w:t>
      </w:r>
      <w:proofErr w:type="spellEnd"/>
      <w:proofErr w:type="gramEnd"/>
      <w:r w:rsidRPr="00810C6E">
        <w:t xml:space="preserve"> 1 (los 9 clientes en insatisfacción crítica) no se concentra en un solo tipo de cargo — están repartidos entre Administrador de Obra, Dirección General, Gerente de Proyecto, </w:t>
      </w:r>
      <w:proofErr w:type="gramStart"/>
      <w:r w:rsidRPr="00810C6E">
        <w:t>Jefe</w:t>
      </w:r>
      <w:proofErr w:type="gramEnd"/>
      <w:r w:rsidRPr="00810C6E">
        <w:t xml:space="preserve"> de Obra, Oficina Técnica, Prevencionista de Riesgos, y otros roles no listados. Cada categoría aporta solo 1 o 2 personas al grupo crítico.</w:t>
      </w:r>
    </w:p>
    <w:p w14:paraId="171FBAB3" w14:textId="77777777" w:rsidR="00810C6E" w:rsidRPr="00810C6E" w:rsidRDefault="00810C6E" w:rsidP="00810C6E">
      <w:r w:rsidRPr="00810C6E">
        <w:t xml:space="preserve">Por qué esto importa para el negocio: significa que no se puede predecir quién va a estar insatisfecho solo mirando su cargo — un Gerente de Proyecto tiene tanta chance de caer en el grupo crítico como un </w:t>
      </w:r>
      <w:proofErr w:type="gramStart"/>
      <w:r w:rsidRPr="00810C6E">
        <w:t>Jefe</w:t>
      </w:r>
      <w:proofErr w:type="gramEnd"/>
      <w:r w:rsidRPr="00810C6E">
        <w:t xml:space="preserve"> de Obra. Esto refuerza directamente el Hallazgo 1 y la Recomendación 1 que ya redactamos: la señal de alerta tiene que basarse en el patrón de respuestas (notas bajas parejas en toda la encuesta), no en filtrar por tipo de cliente, porque el riesgo es transversal a todos los roles.</w:t>
      </w:r>
    </w:p>
    <w:p w14:paraId="374A2265" w14:textId="77777777" w:rsidR="00810C6E" w:rsidRPr="00810C6E" w:rsidRDefault="00810C6E" w:rsidP="00810C6E">
      <w:r w:rsidRPr="00810C6E">
        <w:t xml:space="preserve">Contraste con el </w:t>
      </w:r>
      <w:proofErr w:type="spellStart"/>
      <w:proofErr w:type="gramStart"/>
      <w:r w:rsidRPr="00810C6E">
        <w:t>cluster</w:t>
      </w:r>
      <w:proofErr w:type="spellEnd"/>
      <w:proofErr w:type="gramEnd"/>
      <w:r w:rsidRPr="00810C6E">
        <w:t xml:space="preserve"> 2 (los 251 satisfechos): ahí sí se ven roles con mayor volumen (Administrador de Obra 53, Gerente de Proyecto 32, </w:t>
      </w:r>
      <w:proofErr w:type="gramStart"/>
      <w:r w:rsidRPr="00810C6E">
        <w:t>Jefe</w:t>
      </w:r>
      <w:proofErr w:type="gramEnd"/>
      <w:r w:rsidRPr="00810C6E">
        <w:t xml:space="preserve"> de Bodega 32), simplemente porque son los roles más frecuentes en la muestra en general — no porque esos roles en particular tiendan más a estar satisfechos, es solo el tamaño de cada grupo en el </w:t>
      </w:r>
      <w:proofErr w:type="spellStart"/>
      <w:r w:rsidRPr="00810C6E">
        <w:t>dataset</w:t>
      </w:r>
      <w:proofErr w:type="spellEnd"/>
      <w:r w:rsidRPr="00810C6E">
        <w:t xml:space="preserve"> completo.</w:t>
      </w:r>
    </w:p>
    <w:p w14:paraId="32164D77" w14:textId="77777777" w:rsidR="00810C6E" w:rsidRPr="00810C6E" w:rsidRDefault="00810C6E" w:rsidP="00810C6E">
      <w:pPr>
        <w:rPr>
          <w:b/>
          <w:bCs/>
          <w:u w:val="single"/>
        </w:rPr>
      </w:pPr>
    </w:p>
    <w:p w14:paraId="2EFBFAD6" w14:textId="1CA6A0BB" w:rsidR="00810C6E" w:rsidRPr="00810C6E" w:rsidRDefault="00810C6E" w:rsidP="00BD6940">
      <w:pPr>
        <w:rPr>
          <w:b/>
          <w:bCs/>
          <w:u w:val="single"/>
        </w:rPr>
      </w:pPr>
    </w:p>
    <w:p w14:paraId="004AF88D" w14:textId="77777777" w:rsidR="00BD6940" w:rsidRPr="00BD6940" w:rsidRDefault="00BD6940" w:rsidP="00B9189C">
      <w:pPr>
        <w:rPr>
          <w:b/>
          <w:bCs/>
          <w:u w:val="single"/>
        </w:rPr>
      </w:pPr>
    </w:p>
    <w:p w14:paraId="5F03AECE" w14:textId="77777777" w:rsidR="00B9189C" w:rsidRPr="00B9189C" w:rsidRDefault="00B9189C" w:rsidP="00B9189C"/>
    <w:p w14:paraId="5DE8CEA3" w14:textId="77777777" w:rsidR="00B9189C" w:rsidRPr="00687C0C" w:rsidRDefault="00B9189C"/>
    <w:sectPr w:rsidR="00B9189C" w:rsidRPr="00687C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2F6E"/>
    <w:multiLevelType w:val="multilevel"/>
    <w:tmpl w:val="B9C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40E25"/>
    <w:multiLevelType w:val="multilevel"/>
    <w:tmpl w:val="B8C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77299">
    <w:abstractNumId w:val="0"/>
  </w:num>
  <w:num w:numId="2" w16cid:durableId="1766879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E9"/>
    <w:rsid w:val="000C1837"/>
    <w:rsid w:val="001640E4"/>
    <w:rsid w:val="002036AD"/>
    <w:rsid w:val="003D6273"/>
    <w:rsid w:val="00687C0C"/>
    <w:rsid w:val="007A7C6A"/>
    <w:rsid w:val="00810C6E"/>
    <w:rsid w:val="008D20E9"/>
    <w:rsid w:val="00995E67"/>
    <w:rsid w:val="00AA22F8"/>
    <w:rsid w:val="00B9189C"/>
    <w:rsid w:val="00BD6940"/>
    <w:rsid w:val="00FC66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A4AD"/>
  <w15:chartTrackingRefBased/>
  <w15:docId w15:val="{2498BDCF-C588-4A93-B65E-2C324082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2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2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20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20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20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20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20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20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20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2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2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2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2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2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2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2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20E9"/>
    <w:rPr>
      <w:rFonts w:eastAsiaTheme="majorEastAsia" w:cstheme="majorBidi"/>
      <w:color w:val="272727" w:themeColor="text1" w:themeTint="D8"/>
    </w:rPr>
  </w:style>
  <w:style w:type="paragraph" w:styleId="Ttulo">
    <w:name w:val="Title"/>
    <w:basedOn w:val="Normal"/>
    <w:next w:val="Normal"/>
    <w:link w:val="TtuloCar"/>
    <w:uiPriority w:val="10"/>
    <w:qFormat/>
    <w:rsid w:val="008D2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2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20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2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20E9"/>
    <w:pPr>
      <w:spacing w:before="160"/>
      <w:jc w:val="center"/>
    </w:pPr>
    <w:rPr>
      <w:i/>
      <w:iCs/>
      <w:color w:val="404040" w:themeColor="text1" w:themeTint="BF"/>
    </w:rPr>
  </w:style>
  <w:style w:type="character" w:customStyle="1" w:styleId="CitaCar">
    <w:name w:val="Cita Car"/>
    <w:basedOn w:val="Fuentedeprrafopredeter"/>
    <w:link w:val="Cita"/>
    <w:uiPriority w:val="29"/>
    <w:rsid w:val="008D20E9"/>
    <w:rPr>
      <w:i/>
      <w:iCs/>
      <w:color w:val="404040" w:themeColor="text1" w:themeTint="BF"/>
    </w:rPr>
  </w:style>
  <w:style w:type="paragraph" w:styleId="Prrafodelista">
    <w:name w:val="List Paragraph"/>
    <w:basedOn w:val="Normal"/>
    <w:uiPriority w:val="34"/>
    <w:qFormat/>
    <w:rsid w:val="008D20E9"/>
    <w:pPr>
      <w:ind w:left="720"/>
      <w:contextualSpacing/>
    </w:pPr>
  </w:style>
  <w:style w:type="character" w:styleId="nfasisintenso">
    <w:name w:val="Intense Emphasis"/>
    <w:basedOn w:val="Fuentedeprrafopredeter"/>
    <w:uiPriority w:val="21"/>
    <w:qFormat/>
    <w:rsid w:val="008D20E9"/>
    <w:rPr>
      <w:i/>
      <w:iCs/>
      <w:color w:val="0F4761" w:themeColor="accent1" w:themeShade="BF"/>
    </w:rPr>
  </w:style>
  <w:style w:type="paragraph" w:styleId="Citadestacada">
    <w:name w:val="Intense Quote"/>
    <w:basedOn w:val="Normal"/>
    <w:next w:val="Normal"/>
    <w:link w:val="CitadestacadaCar"/>
    <w:uiPriority w:val="30"/>
    <w:qFormat/>
    <w:rsid w:val="008D2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20E9"/>
    <w:rPr>
      <w:i/>
      <w:iCs/>
      <w:color w:val="0F4761" w:themeColor="accent1" w:themeShade="BF"/>
    </w:rPr>
  </w:style>
  <w:style w:type="character" w:styleId="Referenciaintensa">
    <w:name w:val="Intense Reference"/>
    <w:basedOn w:val="Fuentedeprrafopredeter"/>
    <w:uiPriority w:val="32"/>
    <w:qFormat/>
    <w:rsid w:val="008D20E9"/>
    <w:rPr>
      <w:b/>
      <w:bCs/>
      <w:smallCaps/>
      <w:color w:val="0F4761" w:themeColor="accent1" w:themeShade="BF"/>
      <w:spacing w:val="5"/>
    </w:rPr>
  </w:style>
  <w:style w:type="character" w:styleId="Hipervnculo">
    <w:name w:val="Hyperlink"/>
    <w:basedOn w:val="Fuentedeprrafopredeter"/>
    <w:uiPriority w:val="99"/>
    <w:unhideWhenUsed/>
    <w:rsid w:val="00B9189C"/>
    <w:rPr>
      <w:color w:val="467886" w:themeColor="hyperlink"/>
      <w:u w:val="single"/>
    </w:rPr>
  </w:style>
  <w:style w:type="character" w:styleId="Mencinsinresolver">
    <w:name w:val="Unresolved Mention"/>
    <w:basedOn w:val="Fuentedeprrafopredeter"/>
    <w:uiPriority w:val="99"/>
    <w:semiHidden/>
    <w:unhideWhenUsed/>
    <w:rsid w:val="00B9189C"/>
    <w:rPr>
      <w:color w:val="605E5C"/>
      <w:shd w:val="clear" w:color="auto" w:fill="E1DFDD"/>
    </w:rPr>
  </w:style>
  <w:style w:type="paragraph" w:styleId="NormalWeb">
    <w:name w:val="Normal (Web)"/>
    <w:basedOn w:val="Normal"/>
    <w:uiPriority w:val="99"/>
    <w:semiHidden/>
    <w:unhideWhenUsed/>
    <w:rsid w:val="00810C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1132</TotalTime>
  <Pages>6</Pages>
  <Words>1632</Words>
  <Characters>8978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Gómez Galleguillos</dc:creator>
  <cp:keywords/>
  <dc:description/>
  <cp:lastModifiedBy>Valentina Gómez Galleguillos</cp:lastModifiedBy>
  <cp:revision>3</cp:revision>
  <dcterms:created xsi:type="dcterms:W3CDTF">2026-08-22T22:39:00Z</dcterms:created>
  <dcterms:modified xsi:type="dcterms:W3CDTF">2026-08-23T19:46:00Z</dcterms:modified>
</cp:coreProperties>
</file>