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7C75" w14:textId="4F392A21" w:rsidR="00052FC9" w:rsidRPr="00052FC9" w:rsidRDefault="00052FC9" w:rsidP="00052FC9">
      <w:pPr>
        <w:jc w:val="center"/>
        <w:rPr>
          <w:sz w:val="40"/>
          <w:szCs w:val="40"/>
        </w:rPr>
      </w:pPr>
      <w:r w:rsidRPr="00052FC9">
        <w:rPr>
          <w:sz w:val="40"/>
          <w:szCs w:val="40"/>
        </w:rPr>
        <w:t>Transformationen und neue Strukturen der Weltpolitik</w:t>
      </w:r>
      <w:r w:rsidRPr="00052FC9">
        <w:rPr>
          <w:sz w:val="40"/>
          <w:szCs w:val="40"/>
        </w:rPr>
        <w:t xml:space="preserve"> (293 - 318)</w:t>
      </w:r>
    </w:p>
    <w:p w14:paraId="7473630F" w14:textId="6F6B0479" w:rsidR="00052FC9" w:rsidRDefault="00052FC9" w:rsidP="00052FC9">
      <w:r>
        <w:t>294)</w:t>
      </w:r>
    </w:p>
    <w:p w14:paraId="09AC2DE3" w14:textId="77777777" w:rsidR="00052FC9" w:rsidRDefault="00052FC9" w:rsidP="00052FC9">
      <w:r>
        <w:t>- Analysieren Sie die beiden Karten:</w:t>
      </w:r>
    </w:p>
    <w:p w14:paraId="2D69259F" w14:textId="77777777" w:rsidR="00052FC9" w:rsidRPr="00242671" w:rsidRDefault="00052FC9" w:rsidP="00052FC9">
      <w:pPr>
        <w:pStyle w:val="Listenabsatz"/>
        <w:numPr>
          <w:ilvl w:val="0"/>
          <w:numId w:val="1"/>
        </w:numPr>
        <w:ind w:left="720"/>
        <w:rPr>
          <w:b/>
          <w:bCs/>
        </w:rPr>
      </w:pPr>
      <w:r w:rsidRPr="00242671">
        <w:rPr>
          <w:b/>
          <w:bCs/>
        </w:rPr>
        <w:t>Stellen Sie die Anzahl der Länder 1949 und 1993 fest.</w:t>
      </w:r>
    </w:p>
    <w:p w14:paraId="35D51B88" w14:textId="77777777" w:rsidR="00052FC9" w:rsidRDefault="00052FC9" w:rsidP="00052FC9">
      <w:pPr>
        <w:ind w:left="720"/>
      </w:pPr>
      <w:r>
        <w:t>1949: ~34</w:t>
      </w:r>
    </w:p>
    <w:p w14:paraId="4B8DF0EB" w14:textId="77777777" w:rsidR="00052FC9" w:rsidRDefault="00052FC9" w:rsidP="00052FC9">
      <w:pPr>
        <w:ind w:left="720"/>
      </w:pPr>
      <w:r>
        <w:t>1993: ~48</w:t>
      </w:r>
    </w:p>
    <w:p w14:paraId="1F605046" w14:textId="77777777" w:rsidR="00052FC9" w:rsidRPr="00052FC9" w:rsidRDefault="00052FC9" w:rsidP="00052FC9">
      <w:pPr>
        <w:pStyle w:val="Listenabsatz"/>
        <w:numPr>
          <w:ilvl w:val="0"/>
          <w:numId w:val="1"/>
        </w:numPr>
        <w:ind w:left="720"/>
        <w:rPr>
          <w:b/>
          <w:bCs/>
        </w:rPr>
      </w:pPr>
      <w:r w:rsidRPr="00052FC9">
        <w:rPr>
          <w:b/>
          <w:bCs/>
        </w:rPr>
        <w:t>Welche Staaten sind neu entstanden?</w:t>
      </w:r>
    </w:p>
    <w:p w14:paraId="4CF44C4B" w14:textId="77777777" w:rsidR="00052FC9" w:rsidRDefault="00052FC9" w:rsidP="00052FC9">
      <w:pPr>
        <w:ind w:left="720"/>
      </w:pPr>
      <w:r>
        <w:t>Französische Kolonien: Marokko, Algerien, Tunesien</w:t>
      </w:r>
    </w:p>
    <w:p w14:paraId="531FC24B" w14:textId="77777777" w:rsidR="00052FC9" w:rsidRDefault="00052FC9" w:rsidP="00052FC9">
      <w:pPr>
        <w:ind w:left="720"/>
      </w:pPr>
      <w:r>
        <w:t>UDSSR: Russland, Estland, Lettland, Litauen, Weißrussland, Ukraine,</w:t>
      </w:r>
    </w:p>
    <w:p w14:paraId="046DAA6A" w14:textId="77777777" w:rsidR="00052FC9" w:rsidRDefault="00052FC9" w:rsidP="00052FC9">
      <w:pPr>
        <w:ind w:left="720"/>
      </w:pPr>
      <w:r>
        <w:t xml:space="preserve">Moldawien, </w:t>
      </w:r>
    </w:p>
    <w:p w14:paraId="7E2F5EF3" w14:textId="77777777" w:rsidR="00052FC9" w:rsidRDefault="00052FC9" w:rsidP="00052FC9">
      <w:pPr>
        <w:ind w:left="720"/>
      </w:pPr>
      <w:r>
        <w:t>Tschechoslowakei: Slowakei, Tschechien</w:t>
      </w:r>
    </w:p>
    <w:p w14:paraId="7A5A8430" w14:textId="77777777" w:rsidR="00052FC9" w:rsidRDefault="00052FC9" w:rsidP="00052FC9">
      <w:pPr>
        <w:ind w:left="720"/>
      </w:pPr>
      <w:r>
        <w:t xml:space="preserve">Jugoslawien: Slowenien, Kroatien, Bosnien, Serbien, </w:t>
      </w:r>
      <w:proofErr w:type="spellStart"/>
      <w:r>
        <w:t>Macedonien</w:t>
      </w:r>
      <w:proofErr w:type="spellEnd"/>
    </w:p>
    <w:p w14:paraId="7D8E25A3" w14:textId="77777777" w:rsidR="00052FC9" w:rsidRDefault="00052FC9" w:rsidP="00052FC9">
      <w:pPr>
        <w:ind w:left="720"/>
      </w:pPr>
      <w:r>
        <w:t>Englische Kolonie: Zypern</w:t>
      </w:r>
    </w:p>
    <w:p w14:paraId="5146D653" w14:textId="77777777" w:rsidR="00052FC9" w:rsidRDefault="00052FC9" w:rsidP="00052FC9">
      <w:pPr>
        <w:ind w:left="720"/>
        <w:rPr>
          <w:u w:val="single"/>
        </w:rPr>
      </w:pPr>
      <w:r>
        <w:rPr>
          <w:u w:val="single"/>
        </w:rPr>
        <w:t>Deutschland wurde wiedervereinigt</w:t>
      </w:r>
    </w:p>
    <w:p w14:paraId="25990E96" w14:textId="77777777" w:rsidR="00052FC9" w:rsidRDefault="00052FC9" w:rsidP="00052FC9">
      <w:pPr>
        <w:ind w:left="1065"/>
      </w:pPr>
    </w:p>
    <w:p w14:paraId="7BD16190" w14:textId="2C2FC5C0" w:rsidR="00052FC9" w:rsidRDefault="00052FC9" w:rsidP="00052FC9">
      <w:r>
        <w:rPr>
          <w:noProof/>
        </w:rPr>
        <w:drawing>
          <wp:inline distT="0" distB="0" distL="0" distR="0" wp14:anchorId="73048B4D" wp14:editId="0C9ADD7D">
            <wp:extent cx="2735580" cy="2141220"/>
            <wp:effectExtent l="0" t="0" r="7620" b="0"/>
            <wp:docPr id="1035315740" name="Grafik 2" descr="Ein Bild, das Karte, Atl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Karte, Atl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2141220"/>
                    </a:xfrm>
                    <a:prstGeom prst="rect">
                      <a:avLst/>
                    </a:prstGeom>
                    <a:noFill/>
                    <a:ln>
                      <a:noFill/>
                    </a:ln>
                  </pic:spPr>
                </pic:pic>
              </a:graphicData>
            </a:graphic>
          </wp:inline>
        </w:drawing>
      </w:r>
      <w:r>
        <w:t xml:space="preserve">        </w:t>
      </w:r>
      <w:r>
        <w:rPr>
          <w:noProof/>
        </w:rPr>
        <w:drawing>
          <wp:inline distT="0" distB="0" distL="0" distR="0" wp14:anchorId="10610116" wp14:editId="493A11AF">
            <wp:extent cx="2735580" cy="2141220"/>
            <wp:effectExtent l="0" t="0" r="7620" b="0"/>
            <wp:docPr id="2051081185" name="Grafik 1" descr="Ein Bild, das Karte, Text, Atl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Karte, Text, Atlas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2141220"/>
                    </a:xfrm>
                    <a:prstGeom prst="rect">
                      <a:avLst/>
                    </a:prstGeom>
                    <a:noFill/>
                    <a:ln>
                      <a:noFill/>
                    </a:ln>
                  </pic:spPr>
                </pic:pic>
              </a:graphicData>
            </a:graphic>
          </wp:inline>
        </w:drawing>
      </w:r>
    </w:p>
    <w:p w14:paraId="5E5DA091" w14:textId="77777777" w:rsidR="00D533AE" w:rsidRDefault="00D533AE"/>
    <w:p w14:paraId="5692516A" w14:textId="77777777" w:rsidR="00052FC9" w:rsidRDefault="00052FC9" w:rsidP="00052FC9">
      <w:pPr>
        <w:rPr>
          <w:sz w:val="28"/>
          <w:szCs w:val="28"/>
        </w:rPr>
      </w:pPr>
      <w:r>
        <w:rPr>
          <w:sz w:val="28"/>
          <w:szCs w:val="28"/>
        </w:rPr>
        <w:t>S 300</w:t>
      </w:r>
    </w:p>
    <w:p w14:paraId="464A2826" w14:textId="77777777" w:rsidR="00052FC9" w:rsidRPr="00052FC9" w:rsidRDefault="00052FC9" w:rsidP="00052FC9">
      <w:pPr>
        <w:pStyle w:val="Listenabsatz"/>
        <w:numPr>
          <w:ilvl w:val="0"/>
          <w:numId w:val="2"/>
        </w:numPr>
        <w:rPr>
          <w:rFonts w:cstheme="minorHAnsi"/>
          <w:b/>
          <w:bCs/>
        </w:rPr>
      </w:pPr>
      <w:r w:rsidRPr="00052FC9">
        <w:rPr>
          <w:rFonts w:cstheme="minorHAnsi"/>
          <w:b/>
          <w:bCs/>
        </w:rPr>
        <w:t>Erklären Sie, was mit der Sinatra Doktrin gemeint war.</w:t>
      </w:r>
    </w:p>
    <w:p w14:paraId="25F30F13" w14:textId="77777777" w:rsidR="00052FC9" w:rsidRDefault="00052FC9" w:rsidP="00052FC9">
      <w:pPr>
        <w:ind w:left="1440"/>
        <w:rPr>
          <w:rFonts w:cstheme="minorHAnsi"/>
        </w:rPr>
      </w:pPr>
      <w:r>
        <w:rPr>
          <w:rFonts w:cstheme="minorHAnsi"/>
        </w:rPr>
        <w:t>Die Sinatra-Doktrin wurde erstmals 1957 in einer Rede von Frank Sinatra vor der National Press Club in Washington, D.C. erwähnt. Obwohl Sinatra kein politischer Führer war, hatte er aufgrund seiner Prominenz als Entertainer und seiner engen Beziehungen zu Präsidenten wie John F. Kennedy und Ronald Reagan einen gewissen Einfluss auf die öffentliche Meinung.</w:t>
      </w:r>
    </w:p>
    <w:p w14:paraId="78961A80" w14:textId="77777777" w:rsidR="00052FC9" w:rsidRDefault="00052FC9" w:rsidP="00052FC9">
      <w:pPr>
        <w:ind w:left="1440"/>
        <w:rPr>
          <w:rFonts w:cstheme="minorHAnsi"/>
        </w:rPr>
      </w:pPr>
    </w:p>
    <w:p w14:paraId="28A95F57" w14:textId="77777777" w:rsidR="00052FC9" w:rsidRDefault="00052FC9" w:rsidP="00052FC9">
      <w:pPr>
        <w:ind w:left="1440"/>
        <w:rPr>
          <w:rFonts w:cstheme="minorHAnsi"/>
        </w:rPr>
      </w:pPr>
    </w:p>
    <w:p w14:paraId="2084A10F" w14:textId="77777777" w:rsidR="00052FC9" w:rsidRDefault="00052FC9" w:rsidP="00052FC9">
      <w:pPr>
        <w:ind w:left="1440"/>
        <w:rPr>
          <w:rFonts w:cstheme="minorHAnsi"/>
        </w:rPr>
      </w:pPr>
    </w:p>
    <w:p w14:paraId="31838F18" w14:textId="77777777" w:rsidR="00052FC9" w:rsidRPr="00052FC9" w:rsidRDefault="00052FC9" w:rsidP="00052FC9">
      <w:pPr>
        <w:pStyle w:val="Listenabsatz"/>
        <w:numPr>
          <w:ilvl w:val="0"/>
          <w:numId w:val="2"/>
        </w:numPr>
        <w:rPr>
          <w:rFonts w:cstheme="minorHAnsi"/>
          <w:b/>
          <w:bCs/>
        </w:rPr>
      </w:pPr>
      <w:r w:rsidRPr="00052FC9">
        <w:rPr>
          <w:rFonts w:cstheme="minorHAnsi"/>
          <w:b/>
          <w:bCs/>
        </w:rPr>
        <w:t>Interpretieren Sie, wann welches Land sein Vorkrisenniveau des BIP wieder erreicht hat und wie lange in den einzelnen Ländern die Transformation dauerte.</w:t>
      </w:r>
    </w:p>
    <w:p w14:paraId="1F156975" w14:textId="77777777" w:rsidR="00052FC9" w:rsidRDefault="00052FC9" w:rsidP="00052FC9">
      <w:pPr>
        <w:pStyle w:val="Listenabsatz"/>
        <w:ind w:left="1440"/>
        <w:rPr>
          <w:rFonts w:cstheme="minorHAnsi"/>
        </w:rPr>
      </w:pPr>
      <w:r>
        <w:rPr>
          <w:rFonts w:cstheme="minorHAnsi"/>
        </w:rPr>
        <w:t xml:space="preserve">Alle gelisteten Länder haben das </w:t>
      </w:r>
      <w:proofErr w:type="spellStart"/>
      <w:r>
        <w:rPr>
          <w:rFonts w:cstheme="minorHAnsi"/>
        </w:rPr>
        <w:t>Vorkrisennivea</w:t>
      </w:r>
      <w:proofErr w:type="spellEnd"/>
      <w:r>
        <w:rPr>
          <w:rFonts w:cstheme="minorHAnsi"/>
        </w:rPr>
        <w:t xml:space="preserve"> des BIP wieder erreicht.</w:t>
      </w:r>
    </w:p>
    <w:p w14:paraId="137B69E6" w14:textId="77777777" w:rsidR="00052FC9" w:rsidRDefault="00052FC9" w:rsidP="00052FC9">
      <w:pPr>
        <w:pStyle w:val="Listenabsatz"/>
        <w:ind w:left="1440"/>
        <w:rPr>
          <w:rFonts w:cstheme="minorHAnsi"/>
        </w:rPr>
      </w:pPr>
      <w:r>
        <w:rPr>
          <w:rFonts w:cstheme="minorHAnsi"/>
        </w:rPr>
        <w:t>Polen (1990-1990)</w:t>
      </w:r>
    </w:p>
    <w:p w14:paraId="009A5F78" w14:textId="77777777" w:rsidR="00052FC9" w:rsidRDefault="00052FC9" w:rsidP="00052FC9">
      <w:pPr>
        <w:pStyle w:val="Listenabsatz"/>
        <w:ind w:left="1440"/>
        <w:rPr>
          <w:rFonts w:cstheme="minorHAnsi"/>
        </w:rPr>
      </w:pPr>
      <w:r>
        <w:rPr>
          <w:rFonts w:cstheme="minorHAnsi"/>
        </w:rPr>
        <w:t>Ungarn (1990-1992)</w:t>
      </w:r>
    </w:p>
    <w:p w14:paraId="3D4D39F0" w14:textId="77777777" w:rsidR="00052FC9" w:rsidRDefault="00052FC9" w:rsidP="00052FC9">
      <w:pPr>
        <w:pStyle w:val="Listenabsatz"/>
        <w:ind w:left="1440"/>
        <w:rPr>
          <w:rFonts w:cstheme="minorHAnsi"/>
        </w:rPr>
      </w:pPr>
      <w:r>
        <w:rPr>
          <w:rFonts w:cstheme="minorHAnsi"/>
        </w:rPr>
        <w:t>Tschechien (1990-1992)</w:t>
      </w:r>
    </w:p>
    <w:p w14:paraId="56B480A2" w14:textId="77777777" w:rsidR="00052FC9" w:rsidRDefault="00052FC9" w:rsidP="00052FC9">
      <w:pPr>
        <w:pStyle w:val="Listenabsatz"/>
        <w:ind w:left="1440"/>
        <w:rPr>
          <w:rFonts w:cstheme="minorHAnsi"/>
        </w:rPr>
      </w:pPr>
      <w:r>
        <w:rPr>
          <w:rFonts w:cstheme="minorHAnsi"/>
        </w:rPr>
        <w:t>Slowakei (1990-1992)</w:t>
      </w:r>
    </w:p>
    <w:p w14:paraId="65B7A0FD" w14:textId="77777777" w:rsidR="00052FC9" w:rsidRDefault="00052FC9" w:rsidP="00052FC9">
      <w:pPr>
        <w:pStyle w:val="Listenabsatz"/>
        <w:ind w:left="1440"/>
        <w:rPr>
          <w:rFonts w:cstheme="minorHAnsi"/>
        </w:rPr>
      </w:pPr>
      <w:r>
        <w:rPr>
          <w:rFonts w:cstheme="minorHAnsi"/>
        </w:rPr>
        <w:t>Slowenien (1990-1992)</w:t>
      </w:r>
    </w:p>
    <w:p w14:paraId="50A7F774" w14:textId="77777777" w:rsidR="00052FC9" w:rsidRDefault="00052FC9" w:rsidP="00052FC9">
      <w:pPr>
        <w:pStyle w:val="Listenabsatz"/>
        <w:ind w:left="1440"/>
        <w:rPr>
          <w:rFonts w:cstheme="minorHAnsi"/>
        </w:rPr>
      </w:pPr>
      <w:r>
        <w:rPr>
          <w:rFonts w:cstheme="minorHAnsi"/>
        </w:rPr>
        <w:t>Lettland (1992-1992)</w:t>
      </w:r>
    </w:p>
    <w:p w14:paraId="56CD0C68" w14:textId="77777777" w:rsidR="00052FC9" w:rsidRDefault="00052FC9" w:rsidP="00052FC9">
      <w:pPr>
        <w:pStyle w:val="Listenabsatz"/>
        <w:ind w:left="1440"/>
        <w:rPr>
          <w:rFonts w:cstheme="minorHAnsi"/>
        </w:rPr>
      </w:pPr>
      <w:r>
        <w:rPr>
          <w:rFonts w:cstheme="minorHAnsi"/>
        </w:rPr>
        <w:t>Litauen (1990-1994)</w:t>
      </w:r>
    </w:p>
    <w:p w14:paraId="1361E7DF" w14:textId="77777777" w:rsidR="00052FC9" w:rsidRDefault="00052FC9" w:rsidP="00052FC9">
      <w:pPr>
        <w:pStyle w:val="Listenabsatz"/>
        <w:ind w:left="1440"/>
        <w:rPr>
          <w:rFonts w:cstheme="minorHAnsi"/>
        </w:rPr>
      </w:pPr>
      <w:r>
        <w:rPr>
          <w:rFonts w:cstheme="minorHAnsi"/>
        </w:rPr>
        <w:t>Estland (1990-1994)</w:t>
      </w:r>
    </w:p>
    <w:p w14:paraId="352F92B2" w14:textId="77777777" w:rsidR="00052FC9" w:rsidRDefault="00052FC9" w:rsidP="00052FC9">
      <w:pPr>
        <w:rPr>
          <w:rFonts w:cstheme="minorHAnsi"/>
          <w:sz w:val="28"/>
          <w:szCs w:val="28"/>
        </w:rPr>
      </w:pPr>
      <w:r>
        <w:rPr>
          <w:rFonts w:cstheme="minorHAnsi"/>
          <w:sz w:val="28"/>
          <w:szCs w:val="28"/>
        </w:rPr>
        <w:t>S 304</w:t>
      </w:r>
    </w:p>
    <w:p w14:paraId="7D1B8E07" w14:textId="77777777" w:rsidR="00052FC9" w:rsidRPr="00052FC9" w:rsidRDefault="00052FC9" w:rsidP="00052FC9">
      <w:pPr>
        <w:pStyle w:val="Listenabsatz"/>
        <w:numPr>
          <w:ilvl w:val="0"/>
          <w:numId w:val="3"/>
        </w:numPr>
        <w:rPr>
          <w:rFonts w:cstheme="minorHAnsi"/>
          <w:b/>
          <w:bCs/>
        </w:rPr>
      </w:pPr>
      <w:r w:rsidRPr="00052FC9">
        <w:rPr>
          <w:rFonts w:cstheme="minorHAnsi"/>
          <w:b/>
          <w:bCs/>
        </w:rPr>
        <w:t>Erörtern Sie die Funktion eines Abschlussberichtes über die Verbrecher der chilenischen Militärjunta für die Opfer und deren Angehörige.</w:t>
      </w:r>
    </w:p>
    <w:p w14:paraId="25249ACE" w14:textId="77777777" w:rsidR="00052FC9" w:rsidRDefault="00052FC9" w:rsidP="00052FC9">
      <w:pPr>
        <w:pStyle w:val="Listenabsatz"/>
        <w:ind w:left="1440"/>
        <w:rPr>
          <w:rFonts w:cstheme="minorHAnsi"/>
        </w:rPr>
      </w:pPr>
      <w:r>
        <w:rPr>
          <w:rFonts w:cstheme="minorHAnsi"/>
        </w:rPr>
        <w:t>Für die Opfer und ihre Angehörigen kann ein Abschlussbericht ein wichtiger Schritt in Richtung Heilung und Wiedergutmachung sein. Er kann dazu beitragen, dass die Opfer und ihre Familien die Wahrheit über das, was ihnen widerfahren ist, erfahren und sich anerkannt und respektiert fühlen. Ein Abschlussbericht kann auch als Grundlage für Entschädigungszahlungen und andere Formen der Wiedergutmachung dienen.</w:t>
      </w:r>
    </w:p>
    <w:p w14:paraId="085398D9" w14:textId="77777777" w:rsidR="00052FC9" w:rsidRDefault="00052FC9" w:rsidP="00052FC9">
      <w:pPr>
        <w:pStyle w:val="Listenabsatz"/>
        <w:ind w:left="1440"/>
        <w:rPr>
          <w:rFonts w:cstheme="minorHAnsi"/>
        </w:rPr>
      </w:pPr>
      <w:r>
        <w:rPr>
          <w:rFonts w:cstheme="minorHAnsi"/>
        </w:rPr>
        <w:t>Darüber hinaus kann ein Abschlussbericht dazu beitragen, dass ähnliche Verbrechen in Zukunft vermieden werden. Indem er die Ursachen und Auswirkungen der Militärdiktatur analysiert und Empfehlungen zur Verbesserung der Menschenrechtssituation abgibt, kann ein Abschlussbericht dazu beitragen, dass sich ähnliche Ereignisse nicht wiederholen.</w:t>
      </w:r>
    </w:p>
    <w:p w14:paraId="0A1B5F4D" w14:textId="77777777" w:rsidR="00052FC9" w:rsidRDefault="00052FC9" w:rsidP="00052FC9">
      <w:pPr>
        <w:pStyle w:val="Listenabsatz"/>
        <w:rPr>
          <w:rFonts w:cstheme="minorHAnsi"/>
        </w:rPr>
      </w:pPr>
    </w:p>
    <w:p w14:paraId="5723D5BA" w14:textId="77777777" w:rsidR="00052FC9" w:rsidRPr="00052FC9" w:rsidRDefault="00052FC9" w:rsidP="00052FC9">
      <w:pPr>
        <w:pStyle w:val="Listenabsatz"/>
        <w:numPr>
          <w:ilvl w:val="0"/>
          <w:numId w:val="3"/>
        </w:numPr>
        <w:rPr>
          <w:rFonts w:cstheme="minorHAnsi"/>
          <w:b/>
          <w:bCs/>
        </w:rPr>
      </w:pPr>
      <w:r w:rsidRPr="00052FC9">
        <w:rPr>
          <w:rFonts w:cstheme="minorHAnsi"/>
          <w:b/>
          <w:bCs/>
        </w:rPr>
        <w:t>Beziehen Sie Stellung: Finden Sie es gerecht, dass Straftäter zur Aussöhnung nicht bestraft werden?</w:t>
      </w:r>
    </w:p>
    <w:p w14:paraId="14CB28B9" w14:textId="77777777" w:rsidR="00052FC9" w:rsidRDefault="00052FC9" w:rsidP="00052FC9">
      <w:pPr>
        <w:pStyle w:val="Listenabsatz"/>
        <w:ind w:left="1440"/>
        <w:rPr>
          <w:rFonts w:cstheme="minorHAnsi"/>
        </w:rPr>
      </w:pPr>
      <w:r>
        <w:rPr>
          <w:rFonts w:cstheme="minorHAnsi"/>
        </w:rPr>
        <w:t>Gegen eine Nichtbestrafung von Straftätern zur Aussöhnung kann ich argumentieren, dass eine Straflosigkeit die Opfer und ihre Familien nicht zufriedenstellt und eine solche Entscheidung eine Botschaft der Straflosigkeit an potenzielle zukünftige Täter senden kann. Die Straffreiheit kann auch dazu führen, dass Täter das Gefühl haben, ungestraft davonkommen zu können, was die Wiederholung von Verbrechen erleichtern könnte. Darüber hinaus kann eine Nichtbestrafung auch das Risiko erhöhen, dass ähnliche Ereignisse in der Zukunft stattfinden.</w:t>
      </w:r>
    </w:p>
    <w:p w14:paraId="39B42F22" w14:textId="77777777" w:rsidR="00052FC9" w:rsidRDefault="00052FC9"/>
    <w:p w14:paraId="1EC1A490" w14:textId="5A769371" w:rsidR="00052FC9" w:rsidRPr="00052FC9" w:rsidRDefault="00052FC9">
      <w:pPr>
        <w:rPr>
          <w:sz w:val="28"/>
          <w:szCs w:val="28"/>
        </w:rPr>
      </w:pPr>
      <w:r w:rsidRPr="00052FC9">
        <w:rPr>
          <w:sz w:val="28"/>
          <w:szCs w:val="28"/>
        </w:rPr>
        <w:t>S 308</w:t>
      </w:r>
    </w:p>
    <w:p w14:paraId="5DC4D010" w14:textId="77777777" w:rsidR="00052FC9" w:rsidRPr="00052FC9" w:rsidRDefault="00052FC9" w:rsidP="00052FC9">
      <w:pPr>
        <w:pStyle w:val="Listenabsatz"/>
        <w:numPr>
          <w:ilvl w:val="0"/>
          <w:numId w:val="4"/>
        </w:numPr>
        <w:spacing w:line="259" w:lineRule="auto"/>
        <w:rPr>
          <w:b/>
          <w:bCs/>
        </w:rPr>
      </w:pPr>
      <w:r w:rsidRPr="00052FC9">
        <w:rPr>
          <w:b/>
          <w:bCs/>
        </w:rPr>
        <w:t xml:space="preserve">Interpretieren Sie die Karikatur, übersetzen sie die Begriffe und geben Sie an welche Probleme die einzelnen Länder haben </w:t>
      </w:r>
    </w:p>
    <w:p w14:paraId="471FFF8E" w14:textId="77777777" w:rsidR="00052FC9" w:rsidRDefault="00052FC9" w:rsidP="00052FC9"/>
    <w:p w14:paraId="594EE795" w14:textId="77777777" w:rsidR="00052FC9" w:rsidRPr="008B3E29" w:rsidRDefault="00052FC9" w:rsidP="00052FC9"/>
    <w:p w14:paraId="319BD61C" w14:textId="77777777" w:rsidR="00052FC9" w:rsidRDefault="00052FC9" w:rsidP="00052FC9">
      <w:pPr>
        <w:ind w:firstLine="708"/>
      </w:pPr>
    </w:p>
    <w:p w14:paraId="69EEBF33" w14:textId="69CA029F" w:rsidR="00052FC9" w:rsidRDefault="00052FC9" w:rsidP="00052FC9">
      <w:pPr>
        <w:ind w:firstLine="708"/>
      </w:pPr>
      <w:r w:rsidRPr="008B3E29">
        <w:rPr>
          <w:noProof/>
        </w:rPr>
        <w:drawing>
          <wp:anchor distT="0" distB="0" distL="114300" distR="114300" simplePos="0" relativeHeight="251659264" behindDoc="0" locked="0" layoutInCell="1" allowOverlap="1" wp14:anchorId="05D36F8C" wp14:editId="4A3C4AAC">
            <wp:simplePos x="0" y="0"/>
            <wp:positionH relativeFrom="margin">
              <wp:align>center</wp:align>
            </wp:positionH>
            <wp:positionV relativeFrom="paragraph">
              <wp:posOffset>0</wp:posOffset>
            </wp:positionV>
            <wp:extent cx="3337849" cy="2644369"/>
            <wp:effectExtent l="0" t="0" r="0" b="3810"/>
            <wp:wrapSquare wrapText="bothSides"/>
            <wp:docPr id="116179247" name="Grafik 1" descr="Ein Bild, das Screenshot, Carto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9247" name="Grafik 1" descr="Ein Bild, das Screenshot, Cartoo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37849" cy="2644369"/>
                    </a:xfrm>
                    <a:prstGeom prst="rect">
                      <a:avLst/>
                    </a:prstGeom>
                  </pic:spPr>
                </pic:pic>
              </a:graphicData>
            </a:graphic>
          </wp:anchor>
        </w:drawing>
      </w:r>
    </w:p>
    <w:p w14:paraId="30A9F703" w14:textId="77777777" w:rsidR="00052FC9" w:rsidRDefault="00052FC9" w:rsidP="00052FC9">
      <w:pPr>
        <w:ind w:firstLine="708"/>
      </w:pPr>
    </w:p>
    <w:p w14:paraId="5F3E081C" w14:textId="77777777" w:rsidR="00052FC9" w:rsidRDefault="00052FC9" w:rsidP="00052FC9">
      <w:pPr>
        <w:ind w:firstLine="708"/>
      </w:pPr>
    </w:p>
    <w:p w14:paraId="3812B939" w14:textId="77777777" w:rsidR="00052FC9" w:rsidRDefault="00052FC9" w:rsidP="00052FC9">
      <w:pPr>
        <w:ind w:firstLine="708"/>
      </w:pPr>
    </w:p>
    <w:p w14:paraId="7C0DA3CD" w14:textId="77777777" w:rsidR="00052FC9" w:rsidRDefault="00052FC9" w:rsidP="00052FC9">
      <w:pPr>
        <w:ind w:firstLine="708"/>
      </w:pPr>
    </w:p>
    <w:p w14:paraId="0942959B" w14:textId="77777777" w:rsidR="00052FC9" w:rsidRDefault="00052FC9" w:rsidP="00052FC9">
      <w:pPr>
        <w:ind w:firstLine="708"/>
      </w:pPr>
    </w:p>
    <w:p w14:paraId="6471A968" w14:textId="77777777" w:rsidR="00052FC9" w:rsidRDefault="00052FC9" w:rsidP="00052FC9">
      <w:pPr>
        <w:ind w:firstLine="708"/>
      </w:pPr>
    </w:p>
    <w:p w14:paraId="0C5CF945" w14:textId="77777777" w:rsidR="00052FC9" w:rsidRDefault="00052FC9" w:rsidP="00052FC9">
      <w:pPr>
        <w:ind w:firstLine="708"/>
      </w:pPr>
    </w:p>
    <w:p w14:paraId="010CA3ED" w14:textId="77777777" w:rsidR="00052FC9" w:rsidRDefault="00052FC9" w:rsidP="00052FC9">
      <w:pPr>
        <w:ind w:firstLine="708"/>
      </w:pPr>
    </w:p>
    <w:p w14:paraId="71F048AE" w14:textId="77777777" w:rsidR="00052FC9" w:rsidRDefault="00052FC9" w:rsidP="00052FC9">
      <w:pPr>
        <w:ind w:firstLine="708"/>
      </w:pPr>
    </w:p>
    <w:p w14:paraId="4271BCC0" w14:textId="072A0436" w:rsidR="00052FC9" w:rsidRDefault="00052FC9" w:rsidP="00052FC9">
      <w:pPr>
        <w:ind w:firstLine="708"/>
      </w:pPr>
      <w:r>
        <w:t>China:</w:t>
      </w:r>
    </w:p>
    <w:p w14:paraId="2062DDA8" w14:textId="77777777" w:rsidR="00052FC9" w:rsidRDefault="00052FC9" w:rsidP="00052FC9">
      <w:pPr>
        <w:ind w:firstLine="708"/>
      </w:pPr>
      <w:proofErr w:type="spellStart"/>
      <w:r>
        <w:t>Slowdown</w:t>
      </w:r>
      <w:proofErr w:type="spellEnd"/>
      <w:r>
        <w:t xml:space="preserve"> </w:t>
      </w:r>
      <w:r>
        <w:sym w:font="Wingdings" w:char="F0E0"/>
      </w:r>
      <w:r w:rsidRPr="003E61AA">
        <w:t xml:space="preserve"> Verlangsamen</w:t>
      </w:r>
    </w:p>
    <w:p w14:paraId="0BDE2996" w14:textId="77777777" w:rsidR="00052FC9" w:rsidRDefault="00052FC9" w:rsidP="00052FC9">
      <w:pPr>
        <w:ind w:firstLine="708"/>
      </w:pPr>
      <w:r>
        <w:t>Der Ballon von China steigt langsamer</w:t>
      </w:r>
    </w:p>
    <w:p w14:paraId="64EE11C4" w14:textId="77777777" w:rsidR="00052FC9" w:rsidRDefault="00052FC9" w:rsidP="00052FC9">
      <w:pPr>
        <w:pStyle w:val="Listenabsatz"/>
        <w:numPr>
          <w:ilvl w:val="1"/>
          <w:numId w:val="4"/>
        </w:numPr>
        <w:spacing w:line="259" w:lineRule="auto"/>
      </w:pPr>
      <w:r>
        <w:t xml:space="preserve">Überkapazität in einigen Branchen </w:t>
      </w:r>
    </w:p>
    <w:p w14:paraId="1C2C87D6" w14:textId="77777777" w:rsidR="00052FC9" w:rsidRDefault="00052FC9" w:rsidP="00052FC9">
      <w:pPr>
        <w:pStyle w:val="Listenabsatz"/>
        <w:numPr>
          <w:ilvl w:val="1"/>
          <w:numId w:val="4"/>
        </w:numPr>
        <w:spacing w:line="259" w:lineRule="auto"/>
      </w:pPr>
      <w:r>
        <w:t xml:space="preserve">Überhitzung der Wirtschaft </w:t>
      </w:r>
      <w:r>
        <w:sym w:font="Wingdings" w:char="F0E0"/>
      </w:r>
      <w:r>
        <w:t xml:space="preserve"> Zunahme von Schulden</w:t>
      </w:r>
    </w:p>
    <w:p w14:paraId="7363EB57" w14:textId="77777777" w:rsidR="00052FC9" w:rsidRDefault="00052FC9" w:rsidP="00052FC9">
      <w:pPr>
        <w:pStyle w:val="Listenabsatz"/>
        <w:numPr>
          <w:ilvl w:val="1"/>
          <w:numId w:val="4"/>
        </w:numPr>
        <w:spacing w:line="259" w:lineRule="auto"/>
      </w:pPr>
      <w:r>
        <w:t>Anstieg der Inflation</w:t>
      </w:r>
    </w:p>
    <w:p w14:paraId="5B485733" w14:textId="77777777" w:rsidR="00052FC9" w:rsidRDefault="00052FC9" w:rsidP="00052FC9">
      <w:pPr>
        <w:ind w:firstLine="708"/>
      </w:pPr>
      <w:r>
        <w:t>Russland:</w:t>
      </w:r>
    </w:p>
    <w:p w14:paraId="01461D44" w14:textId="77777777" w:rsidR="00052FC9" w:rsidRDefault="00052FC9" w:rsidP="00052FC9">
      <w:pPr>
        <w:ind w:firstLine="708"/>
      </w:pPr>
      <w:proofErr w:type="spellStart"/>
      <w:r>
        <w:t>Recession</w:t>
      </w:r>
      <w:proofErr w:type="spellEnd"/>
      <w:r>
        <w:t xml:space="preserve"> </w:t>
      </w:r>
      <w:r>
        <w:sym w:font="Wingdings" w:char="F0E0"/>
      </w:r>
      <w:r w:rsidRPr="003E61AA">
        <w:t xml:space="preserve"> der Rückgang</w:t>
      </w:r>
    </w:p>
    <w:p w14:paraId="79DD7618" w14:textId="77777777" w:rsidR="00052FC9" w:rsidRDefault="00052FC9" w:rsidP="00052FC9">
      <w:pPr>
        <w:pStyle w:val="Listenabsatz"/>
        <w:numPr>
          <w:ilvl w:val="1"/>
          <w:numId w:val="4"/>
        </w:numPr>
        <w:spacing w:line="259" w:lineRule="auto"/>
      </w:pPr>
      <w:r>
        <w:t xml:space="preserve">Niedrige Geburtenrate </w:t>
      </w:r>
      <w:r>
        <w:sym w:font="Wingdings" w:char="F0E0"/>
      </w:r>
      <w:r>
        <w:t xml:space="preserve"> keine langfristigen Arbeitskräfte</w:t>
      </w:r>
    </w:p>
    <w:p w14:paraId="40085FFF" w14:textId="77777777" w:rsidR="00052FC9" w:rsidRDefault="00052FC9" w:rsidP="00052FC9">
      <w:pPr>
        <w:pStyle w:val="Listenabsatz"/>
        <w:numPr>
          <w:ilvl w:val="1"/>
          <w:numId w:val="4"/>
        </w:numPr>
        <w:spacing w:line="259" w:lineRule="auto"/>
      </w:pPr>
      <w:r>
        <w:t>Beziehungen zu anderen Ländern ist sehr angespannt</w:t>
      </w:r>
    </w:p>
    <w:p w14:paraId="1C578099" w14:textId="77777777" w:rsidR="00052FC9" w:rsidRDefault="00052FC9" w:rsidP="00052FC9">
      <w:pPr>
        <w:ind w:firstLine="708"/>
      </w:pPr>
      <w:r>
        <w:t>Brasilien:</w:t>
      </w:r>
    </w:p>
    <w:p w14:paraId="63ED2195" w14:textId="77777777" w:rsidR="00052FC9" w:rsidRDefault="00052FC9" w:rsidP="00052FC9">
      <w:pPr>
        <w:ind w:left="708"/>
      </w:pPr>
      <w:r>
        <w:t xml:space="preserve">Stagflation </w:t>
      </w:r>
      <w:r>
        <w:sym w:font="Wingdings" w:char="F0E0"/>
      </w:r>
      <w:r>
        <w:t xml:space="preserve"> </w:t>
      </w:r>
      <w:r w:rsidRPr="003E61AA">
        <w:t>Stillstand des Wirtschaftswachstums bei gleichzeitiger Geldentwertung</w:t>
      </w:r>
    </w:p>
    <w:p w14:paraId="1B2E2D38" w14:textId="77777777" w:rsidR="00052FC9" w:rsidRDefault="00052FC9" w:rsidP="00052FC9">
      <w:pPr>
        <w:pStyle w:val="Listenabsatz"/>
        <w:numPr>
          <w:ilvl w:val="1"/>
          <w:numId w:val="4"/>
        </w:numPr>
        <w:spacing w:line="259" w:lineRule="auto"/>
      </w:pPr>
      <w:r>
        <w:t>Ressourcenabhängigkeit</w:t>
      </w:r>
    </w:p>
    <w:p w14:paraId="558979E3" w14:textId="77777777" w:rsidR="00052FC9" w:rsidRDefault="00052FC9" w:rsidP="00052FC9">
      <w:pPr>
        <w:pStyle w:val="Listenabsatz"/>
        <w:numPr>
          <w:ilvl w:val="1"/>
          <w:numId w:val="4"/>
        </w:numPr>
        <w:spacing w:line="259" w:lineRule="auto"/>
      </w:pPr>
      <w:r>
        <w:t>Handelskriege und Pandemie</w:t>
      </w:r>
    </w:p>
    <w:p w14:paraId="1615CA51" w14:textId="77777777" w:rsidR="00052FC9" w:rsidRDefault="00052FC9" w:rsidP="00052FC9">
      <w:pPr>
        <w:pStyle w:val="Listenabsatz"/>
        <w:numPr>
          <w:ilvl w:val="1"/>
          <w:numId w:val="4"/>
        </w:numPr>
        <w:spacing w:line="259" w:lineRule="auto"/>
      </w:pPr>
      <w:r>
        <w:t>Politische Instabilität</w:t>
      </w:r>
    </w:p>
    <w:p w14:paraId="5CFF3887" w14:textId="77777777" w:rsidR="00052FC9" w:rsidRDefault="00052FC9" w:rsidP="00052FC9"/>
    <w:p w14:paraId="4628683D" w14:textId="77777777" w:rsidR="00052FC9" w:rsidRDefault="00052FC9" w:rsidP="00052FC9">
      <w:pPr>
        <w:ind w:left="708"/>
      </w:pPr>
      <w:r>
        <w:t>Süd Afrika:</w:t>
      </w:r>
    </w:p>
    <w:p w14:paraId="1733B3CB" w14:textId="77777777" w:rsidR="00052FC9" w:rsidRDefault="00052FC9" w:rsidP="00052FC9">
      <w:pPr>
        <w:ind w:firstLine="708"/>
      </w:pPr>
      <w:proofErr w:type="spellStart"/>
      <w:r>
        <w:t>Corruption</w:t>
      </w:r>
      <w:proofErr w:type="spellEnd"/>
      <w:r>
        <w:t xml:space="preserve"> </w:t>
      </w:r>
      <w:r>
        <w:sym w:font="Wingdings" w:char="F0E0"/>
      </w:r>
      <w:r>
        <w:t xml:space="preserve"> Korruption </w:t>
      </w:r>
    </w:p>
    <w:p w14:paraId="35853F19" w14:textId="77777777" w:rsidR="00052FC9" w:rsidRDefault="00052FC9" w:rsidP="00052FC9">
      <w:pPr>
        <w:pStyle w:val="Listenabsatz"/>
        <w:numPr>
          <w:ilvl w:val="1"/>
          <w:numId w:val="4"/>
        </w:numPr>
        <w:spacing w:line="259" w:lineRule="auto"/>
      </w:pPr>
      <w:r>
        <w:t>Mangelende politische Willenskraft</w:t>
      </w:r>
    </w:p>
    <w:p w14:paraId="53D27F71" w14:textId="77777777" w:rsidR="00052FC9" w:rsidRDefault="00052FC9" w:rsidP="00052FC9"/>
    <w:p w14:paraId="4D6FF854" w14:textId="77777777" w:rsidR="00052FC9" w:rsidRDefault="00052FC9" w:rsidP="00052FC9">
      <w:pPr>
        <w:ind w:firstLine="708"/>
      </w:pPr>
      <w:r>
        <w:t>India:</w:t>
      </w:r>
    </w:p>
    <w:p w14:paraId="5B968608" w14:textId="77777777" w:rsidR="00052FC9" w:rsidRDefault="00052FC9" w:rsidP="00052FC9">
      <w:pPr>
        <w:ind w:left="708"/>
      </w:pPr>
      <w:r>
        <w:lastRenderedPageBreak/>
        <w:t>Der Ballon von Indien steigt am stärksten da es dem Land zu der Zeit sehr gut ging.</w:t>
      </w:r>
    </w:p>
    <w:p w14:paraId="38A0C0BE" w14:textId="77777777" w:rsidR="00052FC9" w:rsidRDefault="00052FC9" w:rsidP="00052FC9">
      <w:pPr>
        <w:pStyle w:val="Listenabsatz"/>
        <w:numPr>
          <w:ilvl w:val="1"/>
          <w:numId w:val="4"/>
        </w:numPr>
        <w:spacing w:line="259" w:lineRule="auto"/>
      </w:pPr>
      <w:r>
        <w:t>Steigerung der Steuereinahmen</w:t>
      </w:r>
    </w:p>
    <w:p w14:paraId="0A0EF8B7" w14:textId="77777777" w:rsidR="00052FC9" w:rsidRDefault="00052FC9" w:rsidP="00052FC9">
      <w:pPr>
        <w:pStyle w:val="Listenabsatz"/>
        <w:numPr>
          <w:ilvl w:val="1"/>
          <w:numId w:val="4"/>
        </w:numPr>
        <w:spacing w:line="259" w:lineRule="auto"/>
      </w:pPr>
      <w:r>
        <w:t>Erhöhung der Ausgaben für Bildung und Gesundheit</w:t>
      </w:r>
    </w:p>
    <w:p w14:paraId="7B684717" w14:textId="77777777" w:rsidR="00052FC9" w:rsidRDefault="00052FC9" w:rsidP="00052FC9">
      <w:pPr>
        <w:pStyle w:val="Listenabsatz"/>
        <w:numPr>
          <w:ilvl w:val="1"/>
          <w:numId w:val="4"/>
        </w:numPr>
        <w:spacing w:line="259" w:lineRule="auto"/>
      </w:pPr>
      <w:r>
        <w:t>Förderung von Investitionen</w:t>
      </w:r>
    </w:p>
    <w:p w14:paraId="214818DF" w14:textId="50D6A009" w:rsidR="00052FC9" w:rsidRDefault="00052FC9">
      <w:r>
        <w:t xml:space="preserve"> </w:t>
      </w:r>
    </w:p>
    <w:p w14:paraId="5843E146" w14:textId="28437169" w:rsidR="00052FC9" w:rsidRPr="00052FC9" w:rsidRDefault="00052FC9">
      <w:pPr>
        <w:rPr>
          <w:sz w:val="28"/>
          <w:szCs w:val="28"/>
        </w:rPr>
      </w:pPr>
      <w:r w:rsidRPr="00052FC9">
        <w:rPr>
          <w:sz w:val="28"/>
          <w:szCs w:val="28"/>
        </w:rPr>
        <w:t>S 308</w:t>
      </w:r>
    </w:p>
    <w:p w14:paraId="5FCBEADE" w14:textId="77777777" w:rsidR="00052FC9" w:rsidRPr="00242671" w:rsidRDefault="00052FC9" w:rsidP="00052FC9">
      <w:pPr>
        <w:pStyle w:val="Listenabsatz"/>
        <w:numPr>
          <w:ilvl w:val="0"/>
          <w:numId w:val="4"/>
        </w:numPr>
        <w:spacing w:line="259" w:lineRule="auto"/>
        <w:rPr>
          <w:b/>
          <w:bCs/>
        </w:rPr>
      </w:pPr>
      <w:r w:rsidRPr="00242671">
        <w:rPr>
          <w:b/>
          <w:bCs/>
        </w:rPr>
        <w:t>Fassen sie die Probleme rund um die WM bzw. die Olympischen Spiele zusammen</w:t>
      </w:r>
    </w:p>
    <w:p w14:paraId="2CFE3FF5" w14:textId="77777777" w:rsidR="00052FC9" w:rsidRDefault="00052FC9" w:rsidP="00052FC9">
      <w:pPr>
        <w:ind w:left="360"/>
      </w:pPr>
      <w:r>
        <w:t>Durch den Bau von neuen Stadien litt das Land unter Finanzproblemen. Viele Menschen verloren durch Zwangsräumungen und Auflösungen von Favelas ihr Zuhause</w:t>
      </w:r>
    </w:p>
    <w:p w14:paraId="687B1612" w14:textId="77777777" w:rsidR="00052FC9" w:rsidRDefault="00052FC9"/>
    <w:p w14:paraId="4EBC5908" w14:textId="1A37F7C7" w:rsidR="00052FC9" w:rsidRPr="00052FC9" w:rsidRDefault="00052FC9" w:rsidP="00052FC9">
      <w:pPr>
        <w:rPr>
          <w:sz w:val="28"/>
          <w:szCs w:val="28"/>
        </w:rPr>
      </w:pPr>
      <w:r>
        <w:rPr>
          <w:sz w:val="28"/>
          <w:szCs w:val="28"/>
        </w:rPr>
        <w:t xml:space="preserve">S </w:t>
      </w:r>
      <w:r w:rsidRPr="00052FC9">
        <w:rPr>
          <w:sz w:val="28"/>
          <w:szCs w:val="28"/>
        </w:rPr>
        <w:t>312</w:t>
      </w:r>
    </w:p>
    <w:p w14:paraId="2AB06126" w14:textId="77777777" w:rsidR="00052FC9" w:rsidRPr="00052FC9" w:rsidRDefault="00052FC9" w:rsidP="00052FC9">
      <w:pPr>
        <w:rPr>
          <w:b/>
          <w:bCs/>
        </w:rPr>
      </w:pPr>
      <w:r w:rsidRPr="00052FC9">
        <w:rPr>
          <w:b/>
          <w:bCs/>
        </w:rPr>
        <w:t>- Fassen Sie die Herausforderungen, die Indien zu bewältigen hat.</w:t>
      </w:r>
    </w:p>
    <w:p w14:paraId="4B8BAF18" w14:textId="77777777" w:rsidR="00052FC9" w:rsidRDefault="00052FC9" w:rsidP="00052FC9">
      <w:pPr>
        <w:pStyle w:val="Listenabsatz"/>
        <w:numPr>
          <w:ilvl w:val="0"/>
          <w:numId w:val="5"/>
        </w:numPr>
      </w:pPr>
      <w:r>
        <w:t>Bevölkerungswachstum (In Bezug zu Ressourcen, Infrastruktur und Arbeitsplätzte)</w:t>
      </w:r>
    </w:p>
    <w:p w14:paraId="48C8FFB7" w14:textId="77777777" w:rsidR="00052FC9" w:rsidRDefault="00052FC9" w:rsidP="00052FC9">
      <w:pPr>
        <w:pStyle w:val="Listenabsatz"/>
        <w:numPr>
          <w:ilvl w:val="0"/>
          <w:numId w:val="5"/>
        </w:numPr>
      </w:pPr>
      <w:r>
        <w:t>Armut (Größer Unterschied zwischen den einzelnen Kasten)</w:t>
      </w:r>
    </w:p>
    <w:p w14:paraId="6206DAB5" w14:textId="77777777" w:rsidR="00052FC9" w:rsidRDefault="00052FC9" w:rsidP="00052FC9">
      <w:pPr>
        <w:pStyle w:val="Listenabsatz"/>
        <w:numPr>
          <w:ilvl w:val="0"/>
          <w:numId w:val="5"/>
        </w:numPr>
      </w:pPr>
      <w:r>
        <w:t>Schlechter Zugang zu Bildung</w:t>
      </w:r>
    </w:p>
    <w:p w14:paraId="3C0139AE" w14:textId="77777777" w:rsidR="00052FC9" w:rsidRDefault="00052FC9" w:rsidP="00052FC9">
      <w:pPr>
        <w:pStyle w:val="Listenabsatz"/>
        <w:numPr>
          <w:ilvl w:val="0"/>
          <w:numId w:val="5"/>
        </w:numPr>
      </w:pPr>
      <w:r>
        <w:t>Korruption (Narendra Modi)</w:t>
      </w:r>
    </w:p>
    <w:p w14:paraId="160E9F95" w14:textId="77777777" w:rsidR="00052FC9" w:rsidRDefault="00052FC9" w:rsidP="00052FC9">
      <w:pPr>
        <w:pStyle w:val="Listenabsatz"/>
        <w:numPr>
          <w:ilvl w:val="0"/>
          <w:numId w:val="5"/>
        </w:numPr>
      </w:pPr>
      <w:r>
        <w:t>Umweltprobleme (folglich Gesundheitliche Probleme)</w:t>
      </w:r>
    </w:p>
    <w:p w14:paraId="4EA8CA8A" w14:textId="77777777" w:rsidR="00052FC9" w:rsidRDefault="00052FC9"/>
    <w:p w14:paraId="268EFFB3" w14:textId="77777777" w:rsidR="00052FC9" w:rsidRDefault="00052FC9" w:rsidP="00052FC9">
      <w:pPr>
        <w:pStyle w:val="Listenabsatz"/>
        <w:ind w:left="1440"/>
        <w:rPr>
          <w:rFonts w:cstheme="minorHAnsi"/>
        </w:rPr>
      </w:pPr>
    </w:p>
    <w:p w14:paraId="56F439B0" w14:textId="77777777" w:rsidR="00052FC9" w:rsidRDefault="00052FC9" w:rsidP="00052FC9">
      <w:pPr>
        <w:rPr>
          <w:rFonts w:cstheme="minorHAnsi"/>
          <w:sz w:val="28"/>
          <w:szCs w:val="28"/>
        </w:rPr>
      </w:pPr>
      <w:r>
        <w:rPr>
          <w:rFonts w:cstheme="minorHAnsi"/>
          <w:sz w:val="28"/>
          <w:szCs w:val="28"/>
        </w:rPr>
        <w:t>S 317</w:t>
      </w:r>
    </w:p>
    <w:p w14:paraId="7255EF99" w14:textId="77777777" w:rsidR="00052FC9" w:rsidRPr="00052FC9" w:rsidRDefault="00052FC9" w:rsidP="00052FC9">
      <w:pPr>
        <w:pStyle w:val="Listenabsatz"/>
        <w:numPr>
          <w:ilvl w:val="0"/>
          <w:numId w:val="6"/>
        </w:numPr>
        <w:rPr>
          <w:rFonts w:cstheme="minorHAnsi"/>
          <w:b/>
          <w:bCs/>
        </w:rPr>
      </w:pPr>
      <w:r w:rsidRPr="00052FC9">
        <w:rPr>
          <w:rFonts w:cstheme="minorHAnsi"/>
          <w:b/>
          <w:bCs/>
        </w:rPr>
        <w:t>Recherchieren Sie, wie viele Überwachungskameras es in China ungefähr gibt, und berechnen Sie, auf wie viele Menschen ein Gerät kommt.</w:t>
      </w:r>
    </w:p>
    <w:p w14:paraId="65D5B88A" w14:textId="77777777" w:rsidR="00052FC9" w:rsidRDefault="00052FC9" w:rsidP="00052FC9">
      <w:pPr>
        <w:pStyle w:val="Listenabsatz"/>
        <w:ind w:left="1440"/>
        <w:rPr>
          <w:rFonts w:cstheme="minorHAnsi"/>
        </w:rPr>
      </w:pPr>
      <w:r>
        <w:rPr>
          <w:rFonts w:cstheme="minorHAnsi"/>
        </w:rPr>
        <w:t>Laut verschiedenen Schätzungen gibt es in China derzeit zwischen 200 und 626 Millionen Überwachungskameras, wobei die genaue Zahl schwer zu bestimmen ist, da viele Kameras von privaten Unternehmen betrieben werden und es keine zentrale Datenbank gibt, die alle Kameras erfasst.</w:t>
      </w:r>
    </w:p>
    <w:p w14:paraId="53157EFE" w14:textId="77777777" w:rsidR="00052FC9" w:rsidRDefault="00052FC9" w:rsidP="00052FC9">
      <w:pPr>
        <w:pStyle w:val="Listenabsatz"/>
        <w:ind w:left="1440"/>
        <w:rPr>
          <w:rFonts w:cstheme="minorHAnsi"/>
        </w:rPr>
      </w:pPr>
      <w:r>
        <w:rPr>
          <w:rFonts w:cstheme="minorHAnsi"/>
        </w:rPr>
        <w:t>Wenn wir die höhere Schätzung von 626 Millionen Kameras als Grundlage nehmen und die chinesische Bevölkerungszahl von etwa 1,4 Milliarden Menschen berücksichtigen, würde das bedeuten, dass auf etwa 2,2 Menschen eine Überwachungskamera kommt. Es ist jedoch wichtig zu beachten, dass diese Schätzungen möglicherweise ungenau sind und dass einige Regionen und Städte möglicherweise eine höhere Konzentration von Kameras aufweisen als andere.</w:t>
      </w:r>
    </w:p>
    <w:p w14:paraId="7AB5AF96" w14:textId="77777777" w:rsidR="00052FC9" w:rsidRDefault="00052FC9" w:rsidP="00052FC9">
      <w:pPr>
        <w:pStyle w:val="Listenabsatz"/>
        <w:ind w:left="1440"/>
        <w:rPr>
          <w:rFonts w:cstheme="minorHAnsi"/>
        </w:rPr>
      </w:pPr>
    </w:p>
    <w:p w14:paraId="271DFB1D" w14:textId="77777777" w:rsidR="00052FC9" w:rsidRDefault="00052FC9" w:rsidP="00052FC9">
      <w:pPr>
        <w:pStyle w:val="Listenabsatz"/>
        <w:ind w:left="1440"/>
        <w:rPr>
          <w:rFonts w:cstheme="minorHAnsi"/>
        </w:rPr>
      </w:pPr>
    </w:p>
    <w:p w14:paraId="4437577C" w14:textId="77777777" w:rsidR="00052FC9" w:rsidRPr="00242671" w:rsidRDefault="00052FC9" w:rsidP="00052FC9">
      <w:pPr>
        <w:pStyle w:val="Listenabsatz"/>
        <w:numPr>
          <w:ilvl w:val="0"/>
          <w:numId w:val="6"/>
        </w:numPr>
        <w:rPr>
          <w:rFonts w:cstheme="minorHAnsi"/>
          <w:b/>
          <w:bCs/>
        </w:rPr>
      </w:pPr>
      <w:r w:rsidRPr="00242671">
        <w:rPr>
          <w:rFonts w:cstheme="minorHAnsi"/>
          <w:b/>
          <w:bCs/>
        </w:rPr>
        <w:t>Recherchieren Sie den Ausdruck „Genozid“.</w:t>
      </w:r>
    </w:p>
    <w:p w14:paraId="1A24029F" w14:textId="77777777" w:rsidR="00052FC9" w:rsidRDefault="00052FC9" w:rsidP="00052FC9">
      <w:pPr>
        <w:pStyle w:val="Listenabsatz"/>
        <w:ind w:left="1440"/>
        <w:rPr>
          <w:rFonts w:cstheme="minorHAnsi"/>
        </w:rPr>
      </w:pPr>
      <w:r>
        <w:rPr>
          <w:rFonts w:cstheme="minorHAnsi"/>
        </w:rPr>
        <w:t xml:space="preserve">Der Begriff "Genozid" wurde 1944 von dem polnischen Juristen Raphael </w:t>
      </w:r>
      <w:proofErr w:type="spellStart"/>
      <w:r>
        <w:rPr>
          <w:rFonts w:cstheme="minorHAnsi"/>
        </w:rPr>
        <w:t>Lemkin</w:t>
      </w:r>
      <w:proofErr w:type="spellEnd"/>
      <w:r>
        <w:rPr>
          <w:rFonts w:cstheme="minorHAnsi"/>
        </w:rPr>
        <w:t xml:space="preserve"> geprägt und leitet sich aus dem griechischen Wort "</w:t>
      </w:r>
      <w:proofErr w:type="spellStart"/>
      <w:r>
        <w:rPr>
          <w:rFonts w:cstheme="minorHAnsi"/>
        </w:rPr>
        <w:t>genos</w:t>
      </w:r>
      <w:proofErr w:type="spellEnd"/>
      <w:r>
        <w:rPr>
          <w:rFonts w:cstheme="minorHAnsi"/>
        </w:rPr>
        <w:t>" für "Volk" und dem lateinischen Wort "</w:t>
      </w:r>
      <w:proofErr w:type="spellStart"/>
      <w:r>
        <w:rPr>
          <w:rFonts w:cstheme="minorHAnsi"/>
        </w:rPr>
        <w:t>cide</w:t>
      </w:r>
      <w:proofErr w:type="spellEnd"/>
      <w:r>
        <w:rPr>
          <w:rFonts w:cstheme="minorHAnsi"/>
        </w:rPr>
        <w:t xml:space="preserve">" für "Tötung" ab. Der Begriff bezieht sich auf die systematische Vernichtung einer nationalen, ethnischen, rassischen oder religiösen Gruppe durch Tötung, Verletzung, physische oder geistige Schädigung, </w:t>
      </w:r>
      <w:r>
        <w:rPr>
          <w:rFonts w:cstheme="minorHAnsi"/>
        </w:rPr>
        <w:lastRenderedPageBreak/>
        <w:t>Beeinträchtigung ihrer Fortpflanzungsfähigkeit oder Verschlechterung ihrer Lebensbedingungen.</w:t>
      </w:r>
    </w:p>
    <w:p w14:paraId="728547AE" w14:textId="77777777" w:rsidR="00052FC9" w:rsidRDefault="00052FC9" w:rsidP="00052FC9">
      <w:pPr>
        <w:pStyle w:val="Listenabsatz"/>
        <w:ind w:left="1440"/>
        <w:rPr>
          <w:rFonts w:cstheme="minorHAnsi"/>
        </w:rPr>
      </w:pPr>
      <w:r>
        <w:rPr>
          <w:rFonts w:cstheme="minorHAnsi"/>
        </w:rPr>
        <w:t>Genozid ist ein Verbrechen gegen die Menschlichkeit und wird sowohl von internationalen Konventionen als auch von nationalen Gesetzen geächtet. Der bekannteste Fall von Genozid ist der Holocaust, bei dem die Nationalsozialisten während des Zweiten Weltkriegs sechs Millionen Juden und Millionen anderer Gruppen wie Roma, Sinti und Menschen mit Behinderungen systematisch töteten.</w:t>
      </w:r>
    </w:p>
    <w:p w14:paraId="7E1BC7B5" w14:textId="77777777" w:rsidR="00052FC9" w:rsidRDefault="00052FC9" w:rsidP="00052FC9">
      <w:pPr>
        <w:pStyle w:val="Listenabsatz"/>
        <w:ind w:left="1440"/>
        <w:rPr>
          <w:rFonts w:cstheme="minorHAnsi"/>
        </w:rPr>
      </w:pPr>
    </w:p>
    <w:p w14:paraId="0AC9615E" w14:textId="77777777" w:rsidR="00052FC9" w:rsidRPr="00242671" w:rsidRDefault="00052FC9" w:rsidP="00052FC9">
      <w:pPr>
        <w:pStyle w:val="Listenabsatz"/>
        <w:numPr>
          <w:ilvl w:val="0"/>
          <w:numId w:val="6"/>
        </w:numPr>
        <w:rPr>
          <w:rFonts w:cstheme="minorHAnsi"/>
          <w:b/>
          <w:bCs/>
        </w:rPr>
      </w:pPr>
      <w:r w:rsidRPr="00242671">
        <w:rPr>
          <w:rFonts w:cstheme="minorHAnsi"/>
          <w:b/>
          <w:bCs/>
        </w:rPr>
        <w:t>Sammeln Sie die Artikel zur aktuellen Situation der Uiguren.</w:t>
      </w:r>
    </w:p>
    <w:p w14:paraId="6AA91B4D" w14:textId="77777777" w:rsidR="00052FC9" w:rsidRDefault="00052FC9" w:rsidP="00052FC9">
      <w:pPr>
        <w:pStyle w:val="Listenabsatz"/>
        <w:ind w:left="1440"/>
        <w:rPr>
          <w:rFonts w:cstheme="minorHAnsi"/>
          <w:lang w:val="en-GB"/>
        </w:rPr>
      </w:pPr>
      <w:r>
        <w:rPr>
          <w:rFonts w:cstheme="minorHAnsi"/>
        </w:rPr>
        <w:t xml:space="preserve"> </w:t>
      </w:r>
      <w:r w:rsidRPr="00052FC9">
        <w:rPr>
          <w:rFonts w:cstheme="minorHAnsi"/>
          <w:lang w:val="en-US"/>
        </w:rPr>
        <w:t>"China's Repression of Uighurs in Xinjiang: UN Finds Evidence of 'Cultural Genocide'" - The Guardian, 2021 (</w:t>
      </w:r>
      <w:hyperlink r:id="rId10" w:history="1">
        <w:r w:rsidRPr="00052FC9">
          <w:rPr>
            <w:rStyle w:val="Hyperlink"/>
            <w:rFonts w:cstheme="minorHAnsi"/>
            <w:lang w:val="en-US"/>
          </w:rPr>
          <w:t>https://www.theguardian.com/world/2021/feb/05/china-repression-uighurs-xinjiang-cultural-genocide-un-report</w:t>
        </w:r>
      </w:hyperlink>
      <w:r w:rsidRPr="00052FC9">
        <w:rPr>
          <w:rFonts w:cstheme="minorHAnsi"/>
          <w:lang w:val="en-US"/>
        </w:rPr>
        <w:t>)</w:t>
      </w:r>
    </w:p>
    <w:p w14:paraId="7489561A" w14:textId="77777777" w:rsidR="00052FC9" w:rsidRPr="00052FC9" w:rsidRDefault="00052FC9" w:rsidP="00052FC9">
      <w:pPr>
        <w:pStyle w:val="Listenabsatz"/>
        <w:ind w:left="1440"/>
        <w:rPr>
          <w:rFonts w:cstheme="minorHAnsi"/>
          <w:lang w:val="en-US"/>
        </w:rPr>
      </w:pPr>
      <w:r w:rsidRPr="00052FC9">
        <w:rPr>
          <w:rFonts w:cstheme="minorHAnsi"/>
          <w:lang w:val="en-US"/>
        </w:rPr>
        <w:t xml:space="preserve"> "China's Human Rights Abuses Against Uighur Muslims" - Council on Foreign Relations, 2021 (</w:t>
      </w:r>
      <w:hyperlink r:id="rId11" w:history="1">
        <w:r w:rsidRPr="00052FC9">
          <w:rPr>
            <w:rStyle w:val="Hyperlink"/>
            <w:rFonts w:cstheme="minorHAnsi"/>
            <w:lang w:val="en-US"/>
          </w:rPr>
          <w:t>https://www.cfr.org/backgrounder/chinas-repression-uighurs-xinjiang</w:t>
        </w:r>
      </w:hyperlink>
      <w:r w:rsidRPr="00052FC9">
        <w:rPr>
          <w:rFonts w:cstheme="minorHAnsi"/>
          <w:lang w:val="en-US"/>
        </w:rPr>
        <w:t>)</w:t>
      </w:r>
    </w:p>
    <w:p w14:paraId="53B90A52" w14:textId="77777777" w:rsidR="00052FC9" w:rsidRPr="00052FC9" w:rsidRDefault="00052FC9" w:rsidP="00052FC9">
      <w:pPr>
        <w:pStyle w:val="Listenabsatz"/>
        <w:ind w:left="1440"/>
        <w:rPr>
          <w:rFonts w:cstheme="minorHAnsi"/>
          <w:lang w:val="en-US"/>
        </w:rPr>
      </w:pPr>
      <w:r w:rsidRPr="00052FC9">
        <w:rPr>
          <w:rFonts w:cstheme="minorHAnsi"/>
          <w:lang w:val="en-US"/>
        </w:rPr>
        <w:t xml:space="preserve"> "Inside China's Push to Turn Muslim Minorities into an Army of Workers" - The New York Times, 2021 (</w:t>
      </w:r>
      <w:hyperlink r:id="rId12" w:history="1">
        <w:r w:rsidRPr="00052FC9">
          <w:rPr>
            <w:rStyle w:val="Hyperlink"/>
            <w:rFonts w:cstheme="minorHAnsi"/>
            <w:lang w:val="en-US"/>
          </w:rPr>
          <w:t>https://www.nytimes.com/2021/04/12/world/asia/china-uighurs-xinjiang-workers.html</w:t>
        </w:r>
      </w:hyperlink>
      <w:r w:rsidRPr="00052FC9">
        <w:rPr>
          <w:rFonts w:cstheme="minorHAnsi"/>
          <w:lang w:val="en-US"/>
        </w:rPr>
        <w:t>)</w:t>
      </w:r>
    </w:p>
    <w:p w14:paraId="7CCDD4C3" w14:textId="77777777" w:rsidR="00052FC9" w:rsidRPr="00052FC9" w:rsidRDefault="00052FC9" w:rsidP="00052FC9">
      <w:pPr>
        <w:pStyle w:val="Listenabsatz"/>
        <w:ind w:left="1440"/>
        <w:rPr>
          <w:rFonts w:cstheme="minorHAnsi"/>
          <w:lang w:val="en-US"/>
        </w:rPr>
      </w:pPr>
      <w:r w:rsidRPr="00052FC9">
        <w:rPr>
          <w:rFonts w:cstheme="minorHAnsi"/>
          <w:lang w:val="en-US"/>
        </w:rPr>
        <w:t xml:space="preserve"> "Uighurs in Xinjiang: Inside China's 're-education' camps" - BBC News, 2021 (</w:t>
      </w:r>
      <w:hyperlink r:id="rId13" w:history="1">
        <w:r w:rsidRPr="00052FC9">
          <w:rPr>
            <w:rStyle w:val="Hyperlink"/>
            <w:rFonts w:cstheme="minorHAnsi"/>
            <w:lang w:val="en-US"/>
          </w:rPr>
          <w:t>https://www.bbc.com/news/world-asia-china-45147972</w:t>
        </w:r>
      </w:hyperlink>
      <w:r w:rsidRPr="00052FC9">
        <w:rPr>
          <w:rFonts w:cstheme="minorHAnsi"/>
          <w:lang w:val="en-US"/>
        </w:rPr>
        <w:t>)</w:t>
      </w:r>
    </w:p>
    <w:p w14:paraId="7F682908" w14:textId="77777777" w:rsidR="00052FC9" w:rsidRPr="00052FC9" w:rsidRDefault="00052FC9" w:rsidP="00052FC9">
      <w:pPr>
        <w:pStyle w:val="Listenabsatz"/>
        <w:ind w:left="1440"/>
        <w:rPr>
          <w:rFonts w:cstheme="minorHAnsi"/>
          <w:lang w:val="en-US"/>
        </w:rPr>
      </w:pPr>
      <w:r w:rsidRPr="00052FC9">
        <w:rPr>
          <w:rFonts w:cstheme="minorHAnsi"/>
          <w:lang w:val="en-US"/>
        </w:rPr>
        <w:t xml:space="preserve"> "China is committing genocide against Uighurs and other ethnic minorities, US says" - CNN, 2021 (</w:t>
      </w:r>
      <w:hyperlink r:id="rId14" w:history="1">
        <w:r w:rsidRPr="00052FC9">
          <w:rPr>
            <w:rStyle w:val="Hyperlink"/>
            <w:rFonts w:cstheme="minorHAnsi"/>
            <w:lang w:val="en-US"/>
          </w:rPr>
          <w:t>https://www.cnn.com/2021/01/19/politics/pompeo-uighur-genocide-china-intl-hnk/index.html</w:t>
        </w:r>
      </w:hyperlink>
      <w:r w:rsidRPr="00052FC9">
        <w:rPr>
          <w:rFonts w:cstheme="minorHAnsi"/>
          <w:lang w:val="en-US"/>
        </w:rPr>
        <w:t>)</w:t>
      </w:r>
    </w:p>
    <w:p w14:paraId="59FB2332" w14:textId="77777777" w:rsidR="00052FC9" w:rsidRPr="00052FC9" w:rsidRDefault="00052FC9" w:rsidP="00052FC9">
      <w:pPr>
        <w:pStyle w:val="Listenabsatz"/>
        <w:ind w:left="1440"/>
        <w:rPr>
          <w:rFonts w:cstheme="minorHAnsi"/>
          <w:lang w:val="en-US"/>
        </w:rPr>
      </w:pPr>
    </w:p>
    <w:p w14:paraId="128228C8" w14:textId="77777777" w:rsidR="00052FC9" w:rsidRPr="00242671" w:rsidRDefault="00052FC9" w:rsidP="00052FC9">
      <w:pPr>
        <w:pStyle w:val="Listenabsatz"/>
        <w:numPr>
          <w:ilvl w:val="0"/>
          <w:numId w:val="6"/>
        </w:numPr>
        <w:rPr>
          <w:rFonts w:cstheme="minorHAnsi"/>
          <w:b/>
          <w:bCs/>
        </w:rPr>
      </w:pPr>
      <w:r w:rsidRPr="00242671">
        <w:rPr>
          <w:rFonts w:cstheme="minorHAnsi"/>
          <w:b/>
          <w:bCs/>
        </w:rPr>
        <w:t>Interpretation der Karikatur.</w:t>
      </w:r>
    </w:p>
    <w:p w14:paraId="26633E8D" w14:textId="77777777" w:rsidR="00052FC9" w:rsidRDefault="00052FC9" w:rsidP="00052FC9">
      <w:pPr>
        <w:pStyle w:val="Listenabsatz"/>
        <w:ind w:left="1440"/>
        <w:rPr>
          <w:rFonts w:cstheme="minorHAnsi"/>
        </w:rPr>
      </w:pPr>
      <w:r>
        <w:rPr>
          <w:rFonts w:cstheme="minorHAnsi"/>
        </w:rPr>
        <w:t>Dargestellt wird, dass die Veranstalter der Olympischen Spielen nur das Geld gesehen haben bzw. das Blut an Xi Jinpings Händen ignoriert haben. Der Fakt, dass dafür die Umwelt geschädigt wurde, um Skipisten zu bauen scheint die Veranstalter ebenso wenig interessiert zu haben.</w:t>
      </w:r>
    </w:p>
    <w:p w14:paraId="7A644EB3" w14:textId="77777777" w:rsidR="00052FC9" w:rsidRDefault="00052FC9"/>
    <w:sectPr w:rsidR="00052FC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9CA99" w14:textId="77777777" w:rsidR="00AD1CE1" w:rsidRDefault="00AD1CE1" w:rsidP="00242671">
      <w:pPr>
        <w:spacing w:after="0" w:line="240" w:lineRule="auto"/>
      </w:pPr>
      <w:r>
        <w:separator/>
      </w:r>
    </w:p>
  </w:endnote>
  <w:endnote w:type="continuationSeparator" w:id="0">
    <w:p w14:paraId="51628DBD" w14:textId="77777777" w:rsidR="00AD1CE1" w:rsidRDefault="00AD1CE1" w:rsidP="0024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9415"/>
      <w:docPartObj>
        <w:docPartGallery w:val="Page Numbers (Bottom of Page)"/>
        <w:docPartUnique/>
      </w:docPartObj>
    </w:sdtPr>
    <w:sdtContent>
      <w:p w14:paraId="0458DD27" w14:textId="008B7142" w:rsidR="00242671" w:rsidRDefault="00242671">
        <w:pPr>
          <w:pStyle w:val="Fuzeile"/>
          <w:jc w:val="right"/>
        </w:pPr>
        <w:r>
          <w:fldChar w:fldCharType="begin"/>
        </w:r>
        <w:r>
          <w:instrText>PAGE   \* MERGEFORMAT</w:instrText>
        </w:r>
        <w:r>
          <w:fldChar w:fldCharType="separate"/>
        </w:r>
        <w:r>
          <w:rPr>
            <w:lang w:val="de-DE"/>
          </w:rPr>
          <w:t>2</w:t>
        </w:r>
        <w:r>
          <w:fldChar w:fldCharType="end"/>
        </w:r>
      </w:p>
    </w:sdtContent>
  </w:sdt>
  <w:p w14:paraId="1A7D70F6" w14:textId="77777777" w:rsidR="00242671" w:rsidRDefault="002426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3105" w14:textId="77777777" w:rsidR="00AD1CE1" w:rsidRDefault="00AD1CE1" w:rsidP="00242671">
      <w:pPr>
        <w:spacing w:after="0" w:line="240" w:lineRule="auto"/>
      </w:pPr>
      <w:r>
        <w:separator/>
      </w:r>
    </w:p>
  </w:footnote>
  <w:footnote w:type="continuationSeparator" w:id="0">
    <w:p w14:paraId="30BB2CC7" w14:textId="77777777" w:rsidR="00AD1CE1" w:rsidRDefault="00AD1CE1" w:rsidP="0024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7D53" w14:textId="4B5FD2C2" w:rsidR="00242671" w:rsidRDefault="00242671">
    <w:pPr>
      <w:pStyle w:val="Kopfzeile"/>
    </w:pPr>
    <w:r>
      <w:t>Benjamin Suljevic</w:t>
    </w:r>
    <w:r>
      <w:ptab w:relativeTo="margin" w:alignment="center" w:leader="none"/>
    </w:r>
    <w:r>
      <w:t>Felix Ebertz</w:t>
    </w:r>
    <w:r>
      <w:ptab w:relativeTo="margin" w:alignment="right" w:leader="none"/>
    </w:r>
    <w:r>
      <w:t>Adrian Zeitlberger</w:t>
    </w:r>
  </w:p>
  <w:p w14:paraId="4A79ABEE" w14:textId="77777777" w:rsidR="00242671" w:rsidRDefault="002426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C46"/>
    <w:multiLevelType w:val="hybridMultilevel"/>
    <w:tmpl w:val="7BEA46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1A246D3"/>
    <w:multiLevelType w:val="hybridMultilevel"/>
    <w:tmpl w:val="0D8C1CB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C9A176F"/>
    <w:multiLevelType w:val="hybridMultilevel"/>
    <w:tmpl w:val="CAEECB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8CA095B"/>
    <w:multiLevelType w:val="hybridMultilevel"/>
    <w:tmpl w:val="6F94D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CFD03E7"/>
    <w:multiLevelType w:val="hybridMultilevel"/>
    <w:tmpl w:val="D9E01D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76462975"/>
    <w:multiLevelType w:val="hybridMultilevel"/>
    <w:tmpl w:val="F28C8188"/>
    <w:lvl w:ilvl="0" w:tplc="AB045B78">
      <w:start w:val="1"/>
      <w:numFmt w:val="lowerLetter"/>
      <w:lvlText w:val="%1)"/>
      <w:lvlJc w:val="left"/>
      <w:pPr>
        <w:ind w:left="1065" w:hanging="360"/>
      </w:pPr>
      <w:rPr>
        <w:rFonts w:asciiTheme="minorHAnsi" w:eastAsiaTheme="minorHAnsi" w:hAnsiTheme="minorHAnsi" w:cstheme="minorBidi"/>
      </w:rPr>
    </w:lvl>
    <w:lvl w:ilvl="1" w:tplc="0C070019">
      <w:start w:val="1"/>
      <w:numFmt w:val="lowerLetter"/>
      <w:lvlText w:val="%2."/>
      <w:lvlJc w:val="left"/>
      <w:pPr>
        <w:ind w:left="1785" w:hanging="360"/>
      </w:pPr>
    </w:lvl>
    <w:lvl w:ilvl="2" w:tplc="0C07001B">
      <w:start w:val="1"/>
      <w:numFmt w:val="lowerRoman"/>
      <w:lvlText w:val="%3."/>
      <w:lvlJc w:val="right"/>
      <w:pPr>
        <w:ind w:left="2505" w:hanging="180"/>
      </w:pPr>
    </w:lvl>
    <w:lvl w:ilvl="3" w:tplc="0C07000F">
      <w:start w:val="1"/>
      <w:numFmt w:val="decimal"/>
      <w:lvlText w:val="%4."/>
      <w:lvlJc w:val="left"/>
      <w:pPr>
        <w:ind w:left="3225" w:hanging="360"/>
      </w:pPr>
    </w:lvl>
    <w:lvl w:ilvl="4" w:tplc="0C070019">
      <w:start w:val="1"/>
      <w:numFmt w:val="lowerLetter"/>
      <w:lvlText w:val="%5."/>
      <w:lvlJc w:val="left"/>
      <w:pPr>
        <w:ind w:left="3945" w:hanging="360"/>
      </w:pPr>
    </w:lvl>
    <w:lvl w:ilvl="5" w:tplc="0C07001B">
      <w:start w:val="1"/>
      <w:numFmt w:val="lowerRoman"/>
      <w:lvlText w:val="%6."/>
      <w:lvlJc w:val="right"/>
      <w:pPr>
        <w:ind w:left="4665" w:hanging="180"/>
      </w:pPr>
    </w:lvl>
    <w:lvl w:ilvl="6" w:tplc="0C07000F">
      <w:start w:val="1"/>
      <w:numFmt w:val="decimal"/>
      <w:lvlText w:val="%7."/>
      <w:lvlJc w:val="left"/>
      <w:pPr>
        <w:ind w:left="5385" w:hanging="360"/>
      </w:pPr>
    </w:lvl>
    <w:lvl w:ilvl="7" w:tplc="0C070019">
      <w:start w:val="1"/>
      <w:numFmt w:val="lowerLetter"/>
      <w:lvlText w:val="%8."/>
      <w:lvlJc w:val="left"/>
      <w:pPr>
        <w:ind w:left="6105" w:hanging="360"/>
      </w:pPr>
    </w:lvl>
    <w:lvl w:ilvl="8" w:tplc="0C07001B">
      <w:start w:val="1"/>
      <w:numFmt w:val="lowerRoman"/>
      <w:lvlText w:val="%9."/>
      <w:lvlJc w:val="right"/>
      <w:pPr>
        <w:ind w:left="6825" w:hanging="180"/>
      </w:pPr>
    </w:lvl>
  </w:abstractNum>
  <w:num w:numId="1" w16cid:durableId="1415663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7866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6206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3229662">
    <w:abstractNumId w:val="1"/>
  </w:num>
  <w:num w:numId="5" w16cid:durableId="1596523556">
    <w:abstractNumId w:val="4"/>
    <w:lvlOverride w:ilvl="0"/>
    <w:lvlOverride w:ilvl="1"/>
    <w:lvlOverride w:ilvl="2"/>
    <w:lvlOverride w:ilvl="3"/>
    <w:lvlOverride w:ilvl="4"/>
    <w:lvlOverride w:ilvl="5"/>
    <w:lvlOverride w:ilvl="6"/>
    <w:lvlOverride w:ilvl="7"/>
    <w:lvlOverride w:ilvl="8"/>
  </w:num>
  <w:num w:numId="6" w16cid:durableId="657267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C9"/>
    <w:rsid w:val="00052FC9"/>
    <w:rsid w:val="00242671"/>
    <w:rsid w:val="006F6457"/>
    <w:rsid w:val="00AD1CE1"/>
    <w:rsid w:val="00B3347A"/>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41D"/>
  <w15:chartTrackingRefBased/>
  <w15:docId w15:val="{9600D030-2E61-44B7-A0E1-20CEF2F9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FC9"/>
    <w:pPr>
      <w:spacing w:line="256" w:lineRule="auto"/>
    </w:pPr>
    <w:rPr>
      <w:kern w:val="0"/>
      <w:sz w:val="22"/>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2FC9"/>
    <w:pPr>
      <w:ind w:left="720"/>
      <w:contextualSpacing/>
    </w:pPr>
  </w:style>
  <w:style w:type="character" w:styleId="Hyperlink">
    <w:name w:val="Hyperlink"/>
    <w:basedOn w:val="Absatz-Standardschriftart"/>
    <w:uiPriority w:val="99"/>
    <w:semiHidden/>
    <w:unhideWhenUsed/>
    <w:rsid w:val="00052FC9"/>
    <w:rPr>
      <w:color w:val="0563C1" w:themeColor="hyperlink"/>
      <w:u w:val="single"/>
    </w:rPr>
  </w:style>
  <w:style w:type="paragraph" w:styleId="Kopfzeile">
    <w:name w:val="header"/>
    <w:basedOn w:val="Standard"/>
    <w:link w:val="KopfzeileZchn"/>
    <w:uiPriority w:val="99"/>
    <w:unhideWhenUsed/>
    <w:rsid w:val="002426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2671"/>
    <w:rPr>
      <w:kern w:val="0"/>
      <w:sz w:val="22"/>
      <w14:ligatures w14:val="none"/>
    </w:rPr>
  </w:style>
  <w:style w:type="paragraph" w:styleId="Fuzeile">
    <w:name w:val="footer"/>
    <w:basedOn w:val="Standard"/>
    <w:link w:val="FuzeileZchn"/>
    <w:uiPriority w:val="99"/>
    <w:unhideWhenUsed/>
    <w:rsid w:val="002426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671"/>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7208">
      <w:bodyDiv w:val="1"/>
      <w:marLeft w:val="0"/>
      <w:marRight w:val="0"/>
      <w:marTop w:val="0"/>
      <w:marBottom w:val="0"/>
      <w:divBdr>
        <w:top w:val="none" w:sz="0" w:space="0" w:color="auto"/>
        <w:left w:val="none" w:sz="0" w:space="0" w:color="auto"/>
        <w:bottom w:val="none" w:sz="0" w:space="0" w:color="auto"/>
        <w:right w:val="none" w:sz="0" w:space="0" w:color="auto"/>
      </w:divBdr>
    </w:div>
    <w:div w:id="239825722">
      <w:bodyDiv w:val="1"/>
      <w:marLeft w:val="0"/>
      <w:marRight w:val="0"/>
      <w:marTop w:val="0"/>
      <w:marBottom w:val="0"/>
      <w:divBdr>
        <w:top w:val="none" w:sz="0" w:space="0" w:color="auto"/>
        <w:left w:val="none" w:sz="0" w:space="0" w:color="auto"/>
        <w:bottom w:val="none" w:sz="0" w:space="0" w:color="auto"/>
        <w:right w:val="none" w:sz="0" w:space="0" w:color="auto"/>
      </w:divBdr>
    </w:div>
    <w:div w:id="366491310">
      <w:bodyDiv w:val="1"/>
      <w:marLeft w:val="0"/>
      <w:marRight w:val="0"/>
      <w:marTop w:val="0"/>
      <w:marBottom w:val="0"/>
      <w:divBdr>
        <w:top w:val="none" w:sz="0" w:space="0" w:color="auto"/>
        <w:left w:val="none" w:sz="0" w:space="0" w:color="auto"/>
        <w:bottom w:val="none" w:sz="0" w:space="0" w:color="auto"/>
        <w:right w:val="none" w:sz="0" w:space="0" w:color="auto"/>
      </w:divBdr>
    </w:div>
    <w:div w:id="1504930903">
      <w:bodyDiv w:val="1"/>
      <w:marLeft w:val="0"/>
      <w:marRight w:val="0"/>
      <w:marTop w:val="0"/>
      <w:marBottom w:val="0"/>
      <w:divBdr>
        <w:top w:val="none" w:sz="0" w:space="0" w:color="auto"/>
        <w:left w:val="none" w:sz="0" w:space="0" w:color="auto"/>
        <w:bottom w:val="none" w:sz="0" w:space="0" w:color="auto"/>
        <w:right w:val="none" w:sz="0" w:space="0" w:color="auto"/>
      </w:divBdr>
    </w:div>
    <w:div w:id="16176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m/news/world-asia-china-451479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ytimes.com/2021/04/12/world/asia/china-uighurs-xinjiang-work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fr.org/backgrounder/chinas-repression-uighurs-xinjia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heguardian.com/world/2021/feb/05/china-repression-uighurs-xinjiang-cultural-genocide-un-re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n.com/2021/01/19/politics/pompeo-uighur-genocide-china-intl-hnk/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6754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2023-05-16T05:42:00Z</dcterms:created>
  <dcterms:modified xsi:type="dcterms:W3CDTF">2023-05-16T05:54:00Z</dcterms:modified>
</cp:coreProperties>
</file>