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7gr0gt4w3h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Benjamín Isaac Espina Acevedo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35"/>
        <w:gridCol w:w="855"/>
        <w:gridCol w:w="1095"/>
        <w:gridCol w:w="975"/>
        <w:gridCol w:w="1155"/>
        <w:gridCol w:w="1335"/>
        <w:gridCol w:w="1365"/>
        <w:tblGridChange w:id="0">
          <w:tblGrid>
            <w:gridCol w:w="3135"/>
            <w:gridCol w:w="855"/>
            <w:gridCol w:w="1095"/>
            <w:gridCol w:w="975"/>
            <w:gridCol w:w="1155"/>
            <w:gridCol w:w="133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rjmciihfcz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con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PkWF8/kvbO3pdUknXVmyypsLw==">CgMxLjAyDmgucjdncjBndDR3M2htMg5oLjNyam1jaWloZmN6eDgAciExWDRfd3lNU3NabU9NRjc3MTBWdWJhX3lMSnZRWEZyY20=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