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41B27" w14:textId="77777777" w:rsidR="00A91925" w:rsidRDefault="00A91925" w:rsidP="00A91925">
      <w:r>
        <w:rPr>
          <w:color w:val="00BCB9"/>
          <w:sz w:val="32"/>
          <w:szCs w:val="32"/>
        </w:rPr>
        <w:t xml:space="preserve">Objectives </w:t>
      </w:r>
      <w:r>
        <w:t>Students will be able to…</w:t>
      </w:r>
    </w:p>
    <w:p w14:paraId="4FD2559F" w14:textId="77777777" w:rsidR="00A91925" w:rsidRDefault="00A91925" w:rsidP="00A91925">
      <w:pPr>
        <w:pStyle w:val="ListParagraph"/>
        <w:numPr>
          <w:ilvl w:val="0"/>
          <w:numId w:val="1"/>
        </w:numPr>
        <w:ind w:left="1440" w:hanging="270"/>
      </w:pPr>
      <w:r>
        <w:rPr>
          <w:b/>
        </w:rPr>
        <w:t>Explain</w:t>
      </w:r>
      <w:r>
        <w:t xml:space="preserve"> what encapsulation/abstraction are, and why they are important programming strategies.</w:t>
      </w:r>
    </w:p>
    <w:p w14:paraId="532BA647" w14:textId="77777777" w:rsidR="00A91925" w:rsidRDefault="00A91925" w:rsidP="00A91925">
      <w:r>
        <w:rPr>
          <w:color w:val="00BCB9"/>
          <w:sz w:val="32"/>
          <w:szCs w:val="32"/>
        </w:rPr>
        <w:t xml:space="preserve">Assessments </w:t>
      </w:r>
      <w:r>
        <w:t>Students will...</w:t>
      </w:r>
    </w:p>
    <w:p w14:paraId="4C96E123" w14:textId="77777777" w:rsidR="00A91925" w:rsidRPr="00990737" w:rsidRDefault="00A91925" w:rsidP="00A91925">
      <w:pPr>
        <w:pStyle w:val="ListParagraph"/>
        <w:numPr>
          <w:ilvl w:val="0"/>
          <w:numId w:val="1"/>
        </w:numPr>
        <w:ind w:left="1440" w:hanging="270"/>
        <w:rPr>
          <w:b/>
        </w:rPr>
      </w:pPr>
      <w:r>
        <w:rPr>
          <w:b/>
        </w:rPr>
        <w:t>Teach</w:t>
      </w:r>
      <w:r>
        <w:t xml:space="preserve"> a mini-lesson on encapsulation/abstraction, using private fields, using class invariants, and changing internal implementations</w:t>
      </w:r>
    </w:p>
    <w:p w14:paraId="5347D268" w14:textId="77777777" w:rsidR="00A91925" w:rsidRPr="00F659CB" w:rsidRDefault="00A91925" w:rsidP="00A91925">
      <w:pPr>
        <w:pStyle w:val="ListParagraph"/>
        <w:numPr>
          <w:ilvl w:val="0"/>
          <w:numId w:val="1"/>
        </w:numPr>
        <w:ind w:left="1440" w:hanging="270"/>
        <w:rPr>
          <w:b/>
        </w:rPr>
      </w:pPr>
      <w:r>
        <w:rPr>
          <w:b/>
        </w:rPr>
        <w:t>Complete</w:t>
      </w:r>
      <w:r>
        <w:t xml:space="preserve"> a quiz at the end of Day 2</w:t>
      </w:r>
    </w:p>
    <w:p w14:paraId="055FBFB2" w14:textId="77777777" w:rsidR="00A91925" w:rsidRDefault="00A91925" w:rsidP="00A91925">
      <w:r>
        <w:rPr>
          <w:color w:val="00BCB9"/>
          <w:sz w:val="32"/>
          <w:szCs w:val="32"/>
        </w:rPr>
        <w:t xml:space="preserve">Homework </w:t>
      </w:r>
      <w:r>
        <w:t>Students will...</w:t>
      </w:r>
    </w:p>
    <w:p w14:paraId="4549AFF5" w14:textId="77777777" w:rsidR="00A91925" w:rsidRPr="00F659CB" w:rsidRDefault="00A91925" w:rsidP="00A91925">
      <w:pPr>
        <w:pStyle w:val="ListParagraph"/>
        <w:numPr>
          <w:ilvl w:val="0"/>
          <w:numId w:val="1"/>
        </w:numPr>
        <w:ind w:firstLine="1170"/>
        <w:rPr>
          <w:b/>
        </w:rPr>
      </w:pPr>
      <w:r>
        <w:rPr>
          <w:b/>
        </w:rPr>
        <w:t>Complete</w:t>
      </w:r>
      <w:r>
        <w:t xml:space="preserve"> chapter 8 self-check questions 17-21</w:t>
      </w:r>
    </w:p>
    <w:p w14:paraId="60B6A6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A254876" w14:textId="77777777" w:rsidR="00FA6DD4" w:rsidRPr="001A780B" w:rsidRDefault="001A780B" w:rsidP="00FA6DD4">
      <w:pPr>
        <w:pStyle w:val="ListParagraph"/>
        <w:numPr>
          <w:ilvl w:val="0"/>
          <w:numId w:val="1"/>
        </w:numPr>
        <w:ind w:firstLine="1170"/>
        <w:rPr>
          <w:b/>
        </w:rPr>
      </w:pPr>
      <w:r>
        <w:rPr>
          <w:b/>
        </w:rPr>
        <w:t>Group</w:t>
      </w:r>
      <w:r w:rsidR="00FA6DD4">
        <w:rPr>
          <w:b/>
        </w:rPr>
        <w:t xml:space="preserve"> copies</w:t>
      </w:r>
      <w:r>
        <w:t xml:space="preserve"> of WS 5</w:t>
      </w:r>
      <w:r w:rsidR="00541E0A">
        <w:t>.4</w:t>
      </w:r>
    </w:p>
    <w:p w14:paraId="6359BC3E" w14:textId="77777777" w:rsidR="001A780B" w:rsidRDefault="001A780B" w:rsidP="00FA6DD4">
      <w:pPr>
        <w:pStyle w:val="ListParagraph"/>
        <w:numPr>
          <w:ilvl w:val="0"/>
          <w:numId w:val="1"/>
        </w:numPr>
        <w:ind w:firstLine="1170"/>
        <w:rPr>
          <w:b/>
        </w:rPr>
      </w:pPr>
      <w:r>
        <w:rPr>
          <w:b/>
        </w:rPr>
        <w:t>Assignments for 4 student groups</w:t>
      </w:r>
    </w:p>
    <w:p w14:paraId="04978D83" w14:textId="77777777" w:rsidR="001A780B" w:rsidRPr="001A780B" w:rsidRDefault="001A780B" w:rsidP="00FA6DD4">
      <w:pPr>
        <w:pStyle w:val="ListParagraph"/>
        <w:numPr>
          <w:ilvl w:val="0"/>
          <w:numId w:val="1"/>
        </w:numPr>
        <w:ind w:firstLine="1170"/>
        <w:rPr>
          <w:b/>
        </w:rPr>
      </w:pPr>
      <w:r>
        <w:rPr>
          <w:b/>
        </w:rPr>
        <w:t>4 classroom copies</w:t>
      </w:r>
      <w:r>
        <w:t xml:space="preserve"> of the textbook (or have students bring books to class)</w:t>
      </w:r>
    </w:p>
    <w:p w14:paraId="451C9F26" w14:textId="77777777" w:rsidR="001A780B" w:rsidRPr="00541E0A" w:rsidRDefault="001A780B" w:rsidP="00FA6DD4">
      <w:pPr>
        <w:pStyle w:val="ListParagraph"/>
        <w:numPr>
          <w:ilvl w:val="0"/>
          <w:numId w:val="1"/>
        </w:numPr>
        <w:ind w:firstLine="1170"/>
        <w:rPr>
          <w:b/>
        </w:rPr>
      </w:pPr>
      <w:r>
        <w:rPr>
          <w:b/>
        </w:rPr>
        <w:t>Copies of the grading rubric</w:t>
      </w:r>
      <w:r>
        <w:t xml:space="preserve"> on the overhead or printed out (optional)</w:t>
      </w:r>
    </w:p>
    <w:p w14:paraId="5C0C83C3" w14:textId="77777777" w:rsidR="00A91925" w:rsidRPr="002B1EF5" w:rsidRDefault="00A91925" w:rsidP="00A91925">
      <w:pPr>
        <w:rPr>
          <w:sz w:val="20"/>
          <w:szCs w:val="20"/>
        </w:rPr>
      </w:pPr>
      <w:r w:rsidRPr="002B1EF5">
        <w:t>You will need to circle student assignments on point 2 of WS 5.4, so each group knows what topic they are expected to teach.</w:t>
      </w:r>
    </w:p>
    <w:p w14:paraId="12091E84" w14:textId="2E99C324" w:rsidR="002A3F2C" w:rsidRPr="00F34DEF" w:rsidRDefault="002A3F2C" w:rsidP="0004342F">
      <w:pPr>
        <w:pStyle w:val="Heading1"/>
      </w:pPr>
      <w:bookmarkStart w:id="0" w:name="_GoBack"/>
      <w:bookmarkEnd w:id="0"/>
      <w:r>
        <w:t>Pacing Guide</w:t>
      </w:r>
      <w:r w:rsidR="002B1EF5">
        <w:t>: Day 1</w:t>
      </w:r>
    </w:p>
    <w:tbl>
      <w:tblPr>
        <w:tblStyle w:val="GridTable4-Accent21"/>
        <w:tblpPr w:leftFromText="180" w:rightFromText="180" w:vertAnchor="text" w:tblpY="1"/>
        <w:tblOverlap w:val="never"/>
        <w:tblW w:w="0" w:type="auto"/>
        <w:tblLook w:val="04A0" w:firstRow="1" w:lastRow="0" w:firstColumn="1" w:lastColumn="0" w:noHBand="0" w:noVBand="1"/>
      </w:tblPr>
      <w:tblGrid>
        <w:gridCol w:w="4693"/>
        <w:gridCol w:w="2142"/>
      </w:tblGrid>
      <w:tr w:rsidR="002B1EF5" w14:paraId="17AF1694" w14:textId="77777777" w:rsidTr="00A91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0BE0686" w14:textId="77777777" w:rsidR="002B1EF5" w:rsidRDefault="002B1EF5" w:rsidP="00A91925">
            <w:r>
              <w:t>Section</w:t>
            </w:r>
          </w:p>
        </w:tc>
        <w:tc>
          <w:tcPr>
            <w:tcW w:w="2142" w:type="dxa"/>
          </w:tcPr>
          <w:p w14:paraId="750D3B76" w14:textId="77777777" w:rsidR="002B1EF5" w:rsidRDefault="002B1EF5" w:rsidP="00A91925">
            <w:pPr>
              <w:cnfStyle w:val="100000000000" w:firstRow="1" w:lastRow="0" w:firstColumn="0" w:lastColumn="0" w:oddVBand="0" w:evenVBand="0" w:oddHBand="0" w:evenHBand="0" w:firstRowFirstColumn="0" w:firstRowLastColumn="0" w:lastRowFirstColumn="0" w:lastRowLastColumn="0"/>
            </w:pPr>
            <w:r>
              <w:t>Total Time</w:t>
            </w:r>
          </w:p>
        </w:tc>
      </w:tr>
      <w:tr w:rsidR="002B1EF5" w14:paraId="6163F790" w14:textId="77777777" w:rsidTr="00A9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01F738" w14:textId="77777777" w:rsidR="002B1EF5" w:rsidRDefault="002B1EF5" w:rsidP="00A91925">
            <w:r>
              <w:t>Bell-work and attendance</w:t>
            </w:r>
          </w:p>
        </w:tc>
        <w:tc>
          <w:tcPr>
            <w:tcW w:w="2142" w:type="dxa"/>
          </w:tcPr>
          <w:p w14:paraId="6D75F5CF" w14:textId="77777777" w:rsidR="002B1EF5" w:rsidRDefault="002B1EF5" w:rsidP="00A91925">
            <w:pPr>
              <w:cnfStyle w:val="000000100000" w:firstRow="0" w:lastRow="0" w:firstColumn="0" w:lastColumn="0" w:oddVBand="0" w:evenVBand="0" w:oddHBand="1" w:evenHBand="0" w:firstRowFirstColumn="0" w:firstRowLastColumn="0" w:lastRowFirstColumn="0" w:lastRowLastColumn="0"/>
            </w:pPr>
            <w:r>
              <w:t>5min</w:t>
            </w:r>
          </w:p>
        </w:tc>
      </w:tr>
      <w:tr w:rsidR="002B1EF5" w14:paraId="5E47355A" w14:textId="77777777" w:rsidTr="00A91925">
        <w:tc>
          <w:tcPr>
            <w:cnfStyle w:val="001000000000" w:firstRow="0" w:lastRow="0" w:firstColumn="1" w:lastColumn="0" w:oddVBand="0" w:evenVBand="0" w:oddHBand="0" w:evenHBand="0" w:firstRowFirstColumn="0" w:firstRowLastColumn="0" w:lastRowFirstColumn="0" w:lastRowLastColumn="0"/>
            <w:tcW w:w="4693" w:type="dxa"/>
          </w:tcPr>
          <w:p w14:paraId="531D48C5" w14:textId="0CE52BA6" w:rsidR="002B1EF5" w:rsidRPr="003D0253" w:rsidRDefault="002B1EF5" w:rsidP="00A91925">
            <w:r>
              <w:t>Introduction; reviewing the assignment</w:t>
            </w:r>
          </w:p>
        </w:tc>
        <w:tc>
          <w:tcPr>
            <w:tcW w:w="2142" w:type="dxa"/>
          </w:tcPr>
          <w:p w14:paraId="257D9844" w14:textId="71CF6EA3" w:rsidR="002B1EF5" w:rsidRDefault="002B1EF5" w:rsidP="00A91925">
            <w:pPr>
              <w:cnfStyle w:val="000000000000" w:firstRow="0" w:lastRow="0" w:firstColumn="0" w:lastColumn="0" w:oddVBand="0" w:evenVBand="0" w:oddHBand="0" w:evenHBand="0" w:firstRowFirstColumn="0" w:firstRowLastColumn="0" w:lastRowFirstColumn="0" w:lastRowLastColumn="0"/>
            </w:pPr>
            <w:r>
              <w:t>10min</w:t>
            </w:r>
          </w:p>
        </w:tc>
      </w:tr>
      <w:tr w:rsidR="002B1EF5" w14:paraId="71A7FCB3" w14:textId="77777777" w:rsidTr="00A9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CD6B6ED" w14:textId="13B84282" w:rsidR="002B1EF5" w:rsidRPr="003D0253" w:rsidRDefault="002B1EF5" w:rsidP="00A91925">
            <w:r>
              <w:t>Student preparation of lesson</w:t>
            </w:r>
          </w:p>
        </w:tc>
        <w:tc>
          <w:tcPr>
            <w:tcW w:w="2142" w:type="dxa"/>
          </w:tcPr>
          <w:p w14:paraId="04349E42" w14:textId="7DC7C1EE" w:rsidR="002B1EF5" w:rsidRDefault="002B1EF5" w:rsidP="00A91925">
            <w:pPr>
              <w:cnfStyle w:val="000000100000" w:firstRow="0" w:lastRow="0" w:firstColumn="0" w:lastColumn="0" w:oddVBand="0" w:evenVBand="0" w:oddHBand="1" w:evenHBand="0" w:firstRowFirstColumn="0" w:firstRowLastColumn="0" w:lastRowFirstColumn="0" w:lastRowLastColumn="0"/>
            </w:pPr>
            <w:r>
              <w:t>30min</w:t>
            </w:r>
          </w:p>
        </w:tc>
      </w:tr>
      <w:tr w:rsidR="002B1EF5" w14:paraId="0218ACD8" w14:textId="77777777" w:rsidTr="00A91925">
        <w:tc>
          <w:tcPr>
            <w:cnfStyle w:val="001000000000" w:firstRow="0" w:lastRow="0" w:firstColumn="1" w:lastColumn="0" w:oddVBand="0" w:evenVBand="0" w:oddHBand="0" w:evenHBand="0" w:firstRowFirstColumn="0" w:firstRowLastColumn="0" w:lastRowFirstColumn="0" w:lastRowLastColumn="0"/>
            <w:tcW w:w="4693" w:type="dxa"/>
          </w:tcPr>
          <w:p w14:paraId="54965E1B" w14:textId="715A9FF2" w:rsidR="002B1EF5" w:rsidRDefault="002B1EF5" w:rsidP="00A91925">
            <w:r>
              <w:t>Student practice</w:t>
            </w:r>
          </w:p>
        </w:tc>
        <w:tc>
          <w:tcPr>
            <w:tcW w:w="2142" w:type="dxa"/>
          </w:tcPr>
          <w:p w14:paraId="27A50E0C" w14:textId="52097921" w:rsidR="002B1EF5" w:rsidRDefault="002B1EF5" w:rsidP="00A91925">
            <w:pPr>
              <w:cnfStyle w:val="000000000000" w:firstRow="0" w:lastRow="0" w:firstColumn="0" w:lastColumn="0" w:oddVBand="0" w:evenVBand="0" w:oddHBand="0" w:evenHBand="0" w:firstRowFirstColumn="0" w:firstRowLastColumn="0" w:lastRowFirstColumn="0" w:lastRowLastColumn="0"/>
            </w:pPr>
            <w:r>
              <w:t>10min</w:t>
            </w:r>
          </w:p>
        </w:tc>
      </w:tr>
    </w:tbl>
    <w:p w14:paraId="3A407D63" w14:textId="099D4FAB" w:rsidR="002B1EF5" w:rsidRDefault="00A91925" w:rsidP="002B1EF5">
      <w:pPr>
        <w:pStyle w:val="Heading1"/>
      </w:pPr>
      <w:r>
        <w:br w:type="textWrapping" w:clear="all"/>
      </w:r>
      <w:r w:rsidR="002B1EF5">
        <w:t>Pacing Guide: Day 2</w:t>
      </w:r>
    </w:p>
    <w:tbl>
      <w:tblPr>
        <w:tblStyle w:val="GridTable4-Accent21"/>
        <w:tblW w:w="0" w:type="auto"/>
        <w:tblLook w:val="04A0" w:firstRow="1" w:lastRow="0" w:firstColumn="1" w:lastColumn="0" w:noHBand="0" w:noVBand="1"/>
      </w:tblPr>
      <w:tblGrid>
        <w:gridCol w:w="4693"/>
        <w:gridCol w:w="2142"/>
      </w:tblGrid>
      <w:tr w:rsidR="002B1EF5" w14:paraId="713BDF19" w14:textId="77777777" w:rsidTr="00A91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AF92D42" w14:textId="77777777" w:rsidR="002B1EF5" w:rsidRDefault="002B1EF5" w:rsidP="00A91925">
            <w:r>
              <w:t>Section</w:t>
            </w:r>
          </w:p>
        </w:tc>
        <w:tc>
          <w:tcPr>
            <w:tcW w:w="2142" w:type="dxa"/>
          </w:tcPr>
          <w:p w14:paraId="1449E0A5" w14:textId="77777777" w:rsidR="002B1EF5" w:rsidRDefault="002B1EF5" w:rsidP="00A91925">
            <w:pPr>
              <w:cnfStyle w:val="100000000000" w:firstRow="1" w:lastRow="0" w:firstColumn="0" w:lastColumn="0" w:oddVBand="0" w:evenVBand="0" w:oddHBand="0" w:evenHBand="0" w:firstRowFirstColumn="0" w:firstRowLastColumn="0" w:lastRowFirstColumn="0" w:lastRowLastColumn="0"/>
            </w:pPr>
            <w:r>
              <w:t>Total Time</w:t>
            </w:r>
          </w:p>
        </w:tc>
      </w:tr>
      <w:tr w:rsidR="002B1EF5" w14:paraId="22648649" w14:textId="77777777" w:rsidTr="00A9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0EAB506" w14:textId="77777777" w:rsidR="002B1EF5" w:rsidRDefault="002B1EF5" w:rsidP="00A91925">
            <w:r>
              <w:t>Bell-work and attendance</w:t>
            </w:r>
          </w:p>
        </w:tc>
        <w:tc>
          <w:tcPr>
            <w:tcW w:w="2142" w:type="dxa"/>
          </w:tcPr>
          <w:p w14:paraId="672F733B" w14:textId="77777777" w:rsidR="002B1EF5" w:rsidRDefault="002B1EF5" w:rsidP="00A91925">
            <w:pPr>
              <w:cnfStyle w:val="000000100000" w:firstRow="0" w:lastRow="0" w:firstColumn="0" w:lastColumn="0" w:oddVBand="0" w:evenVBand="0" w:oddHBand="1" w:evenHBand="0" w:firstRowFirstColumn="0" w:firstRowLastColumn="0" w:lastRowFirstColumn="0" w:lastRowLastColumn="0"/>
            </w:pPr>
            <w:r>
              <w:t>5min</w:t>
            </w:r>
          </w:p>
        </w:tc>
      </w:tr>
      <w:tr w:rsidR="002B1EF5" w14:paraId="528ADAE2" w14:textId="77777777" w:rsidTr="00A91925">
        <w:tc>
          <w:tcPr>
            <w:cnfStyle w:val="001000000000" w:firstRow="0" w:lastRow="0" w:firstColumn="1" w:lastColumn="0" w:oddVBand="0" w:evenVBand="0" w:oddHBand="0" w:evenHBand="0" w:firstRowFirstColumn="0" w:firstRowLastColumn="0" w:lastRowFirstColumn="0" w:lastRowLastColumn="0"/>
            <w:tcW w:w="4693" w:type="dxa"/>
          </w:tcPr>
          <w:p w14:paraId="05806EEC" w14:textId="7FF10DAA" w:rsidR="002B1EF5" w:rsidRPr="003D0253" w:rsidRDefault="002B1EF5" w:rsidP="00A91925">
            <w:r>
              <w:t>Student mini-lessons</w:t>
            </w:r>
          </w:p>
        </w:tc>
        <w:tc>
          <w:tcPr>
            <w:tcW w:w="2142" w:type="dxa"/>
          </w:tcPr>
          <w:p w14:paraId="2B2C0364" w14:textId="4BA1DD41" w:rsidR="002B1EF5" w:rsidRDefault="002B1EF5" w:rsidP="00A91925">
            <w:pPr>
              <w:cnfStyle w:val="000000000000" w:firstRow="0" w:lastRow="0" w:firstColumn="0" w:lastColumn="0" w:oddVBand="0" w:evenVBand="0" w:oddHBand="0" w:evenHBand="0" w:firstRowFirstColumn="0" w:firstRowLastColumn="0" w:lastRowFirstColumn="0" w:lastRowLastColumn="0"/>
            </w:pPr>
            <w:r>
              <w:t>35min</w:t>
            </w:r>
          </w:p>
        </w:tc>
      </w:tr>
      <w:tr w:rsidR="002B1EF5" w14:paraId="55E203F7" w14:textId="77777777" w:rsidTr="00A9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FBFBD9" w14:textId="0FBACDCF" w:rsidR="002B1EF5" w:rsidRPr="003D0253" w:rsidRDefault="002B1EF5" w:rsidP="00A91925">
            <w:r>
              <w:t>Quiz using student-generated questions</w:t>
            </w:r>
          </w:p>
        </w:tc>
        <w:tc>
          <w:tcPr>
            <w:tcW w:w="2142" w:type="dxa"/>
          </w:tcPr>
          <w:p w14:paraId="64F99550" w14:textId="30B2451C" w:rsidR="002B1EF5" w:rsidRDefault="002B1EF5" w:rsidP="00A91925">
            <w:pPr>
              <w:cnfStyle w:val="000000100000" w:firstRow="0" w:lastRow="0" w:firstColumn="0" w:lastColumn="0" w:oddVBand="0" w:evenVBand="0" w:oddHBand="1" w:evenHBand="0" w:firstRowFirstColumn="0" w:firstRowLastColumn="0" w:lastRowFirstColumn="0" w:lastRowLastColumn="0"/>
            </w:pPr>
            <w:r>
              <w:t>15min</w:t>
            </w:r>
          </w:p>
        </w:tc>
      </w:tr>
    </w:tbl>
    <w:p w14:paraId="5360F145" w14:textId="77777777" w:rsidR="006D183C" w:rsidRDefault="003E5F5D" w:rsidP="0004342F">
      <w:pPr>
        <w:pStyle w:val="Heading1"/>
      </w:pPr>
      <w:r w:rsidRPr="0004342F">
        <w:t>Procedure</w:t>
      </w:r>
    </w:p>
    <w:p w14:paraId="008751B4" w14:textId="77777777" w:rsidR="00A91925" w:rsidRPr="002B1EF5" w:rsidRDefault="00A91925" w:rsidP="00A91925">
      <w:pPr>
        <w:rPr>
          <w:i/>
          <w:sz w:val="20"/>
          <w:szCs w:val="20"/>
        </w:rPr>
      </w:pPr>
      <w:r w:rsidRPr="002B1EF5">
        <w:rPr>
          <w:i/>
        </w:rPr>
        <w:t>Your hook for today’s lesson is to turn the reins over to students immediately. Have instructions printed out and sitting at teamwork stations (or on student desks). Encourage students to answer their own questions using the instruction sheet and textbook. Frequently asked questions and suggestions for student groups are included in Accommodations and Differentiation.</w:t>
      </w:r>
    </w:p>
    <w:p w14:paraId="4914CA1E" w14:textId="60F8A8E5" w:rsidR="006D183C" w:rsidRDefault="00FA6DD4" w:rsidP="006D183C">
      <w:pPr>
        <w:pStyle w:val="Heading2"/>
      </w:pPr>
      <w:r>
        <w:t>Bell-work</w:t>
      </w:r>
      <w:r w:rsidR="00620D11">
        <w:t xml:space="preserve"> and Attendance</w:t>
      </w:r>
      <w:r>
        <w:t xml:space="preserve"> [5</w:t>
      </w:r>
      <w:r w:rsidR="006D183C" w:rsidRPr="006D183C">
        <w:t xml:space="preserve"> minutes]</w:t>
      </w:r>
    </w:p>
    <w:p w14:paraId="763F5C35" w14:textId="22DAE045" w:rsidR="00E91FE7" w:rsidRDefault="002B1EF5" w:rsidP="00E91FE7">
      <w:pPr>
        <w:pStyle w:val="Heading2"/>
      </w:pPr>
      <w:r>
        <w:t>Introduction &amp; Reviewing the Assignment</w:t>
      </w:r>
      <w:r w:rsidR="00730077">
        <w:t xml:space="preserve"> [1</w:t>
      </w:r>
      <w:r w:rsidR="00FA6DD4">
        <w:t>0</w:t>
      </w:r>
      <w:r w:rsidR="00E91FE7" w:rsidRPr="006D183C">
        <w:t xml:space="preserve"> minutes]</w:t>
      </w:r>
    </w:p>
    <w:p w14:paraId="11D4A41D" w14:textId="77777777" w:rsidR="002B1EF5" w:rsidRPr="002B1EF5" w:rsidRDefault="002B1EF5" w:rsidP="002B1EF5">
      <w:pPr>
        <w:pStyle w:val="ProcedureText"/>
      </w:pPr>
      <w:r w:rsidRPr="002B1EF5">
        <w:t>1. Prepare students by telling them that the 4 topics covered today are the 4 subsections of 8.4, the reading that was due today.</w:t>
      </w:r>
    </w:p>
    <w:p w14:paraId="25A8B73E" w14:textId="77777777" w:rsidR="002B1EF5" w:rsidRPr="002B1EF5" w:rsidRDefault="002B1EF5" w:rsidP="002B1EF5">
      <w:pPr>
        <w:pStyle w:val="ProcedureText"/>
      </w:pPr>
      <w:r w:rsidRPr="002B1EF5">
        <w:t>2. Give students 15 minutes to prepare their presentation and generate quiz questions for tomorrow’s class.</w:t>
      </w:r>
    </w:p>
    <w:p w14:paraId="548A7CAB" w14:textId="77777777" w:rsidR="002B1EF5" w:rsidRPr="002B1EF5" w:rsidRDefault="002B1EF5" w:rsidP="002B1EF5">
      <w:pPr>
        <w:pStyle w:val="ProcedureText"/>
        <w:ind w:left="2520" w:hanging="360"/>
      </w:pPr>
      <w:r w:rsidRPr="002B1EF5">
        <w:t xml:space="preserve">a. Use a timer and announce time at 10- and 5- minutes remaining so students </w:t>
      </w:r>
      <w:r w:rsidRPr="002B1EF5">
        <w:lastRenderedPageBreak/>
        <w:t>can pace themselves.</w:t>
      </w:r>
    </w:p>
    <w:p w14:paraId="5FDDA055" w14:textId="77777777" w:rsidR="002B1EF5" w:rsidRDefault="002B1EF5" w:rsidP="002B1EF5">
      <w:pPr>
        <w:pStyle w:val="ProcedureText"/>
        <w:ind w:left="2520" w:hanging="360"/>
      </w:pPr>
      <w:r w:rsidRPr="002B1EF5">
        <w:t>b. Answers to commonly asked questions, and tips for the different groups may be found below:</w:t>
      </w:r>
    </w:p>
    <w:p w14:paraId="4CE5D4ED" w14:textId="77777777" w:rsidR="00A91925" w:rsidRPr="002B1EF5" w:rsidRDefault="00A91925" w:rsidP="00A91925">
      <w:pPr>
        <w:jc w:val="center"/>
        <w:rPr>
          <w:b/>
        </w:rPr>
      </w:pPr>
      <w:r>
        <w:rPr>
          <w:b/>
        </w:rPr>
        <w:t>ASSIGNMENT FAQ</w:t>
      </w:r>
    </w:p>
    <w:p w14:paraId="282656B3" w14:textId="77777777" w:rsidR="00A91925" w:rsidRPr="002B1EF5" w:rsidRDefault="00A91925" w:rsidP="00A91925">
      <w:pPr>
        <w:rPr>
          <w:u w:val="single"/>
        </w:rPr>
      </w:pPr>
      <w:r w:rsidRPr="002B1EF5">
        <w:rPr>
          <w:u w:val="single"/>
        </w:rPr>
        <w:t>Encapsulation &amp; Abstraction</w:t>
      </w:r>
    </w:p>
    <w:p w14:paraId="61D8D942" w14:textId="77777777" w:rsidR="00A91925" w:rsidRPr="002B1EF5" w:rsidRDefault="00A91925" w:rsidP="00A91925">
      <w:pPr>
        <w:rPr>
          <w:i/>
        </w:rPr>
      </w:pPr>
      <w:r w:rsidRPr="002B1EF5">
        <w:rPr>
          <w:i/>
        </w:rPr>
        <w:t>Guidance for student teachers</w:t>
      </w:r>
    </w:p>
    <w:p w14:paraId="571396B6" w14:textId="77777777" w:rsidR="00A91925" w:rsidRPr="002B1EF5" w:rsidRDefault="00A91925" w:rsidP="00A91925">
      <w:pPr>
        <w:ind w:left="1080" w:hanging="360"/>
      </w:pPr>
      <w:r w:rsidRPr="002B1EF5">
        <w:t>1. If students are lacking direction, encourage students to refer to the textbook. A good example of why it’s important to encapsulate code can be found in the “Did you know” blue box in section 8.4.</w:t>
      </w:r>
    </w:p>
    <w:p w14:paraId="2589A6E0" w14:textId="77777777" w:rsidR="00A91925" w:rsidRDefault="00A91925" w:rsidP="00A91925">
      <w:pPr>
        <w:ind w:left="1080" w:hanging="360"/>
      </w:pPr>
      <w:r w:rsidRPr="002B1EF5">
        <w:t>2. A good “Tricky Code Cheat Sheet” tip would be for students to form a rule their peers can memorize for when its’ appropriate to encapsulate code.</w:t>
      </w:r>
    </w:p>
    <w:p w14:paraId="4E05AC3A" w14:textId="77777777" w:rsidR="00A91925" w:rsidRPr="002B1EF5" w:rsidRDefault="00A91925" w:rsidP="00A91925">
      <w:pPr>
        <w:rPr>
          <w:i/>
        </w:rPr>
      </w:pPr>
      <w:r w:rsidRPr="002B1EF5">
        <w:rPr>
          <w:i/>
        </w:rPr>
        <w:t>Common Questions/Answers</w:t>
      </w:r>
    </w:p>
    <w:p w14:paraId="4AAD0184" w14:textId="77777777" w:rsidR="00A91925" w:rsidRPr="002B1EF5" w:rsidRDefault="00A91925" w:rsidP="00A91925">
      <w:pPr>
        <w:ind w:left="1080" w:hanging="360"/>
        <w:rPr>
          <w:b/>
        </w:rPr>
      </w:pPr>
      <w:r w:rsidRPr="002B1EF5">
        <w:t xml:space="preserve">1. Why can’t we just ignore code, or promise not to modify it instead of encapsulating it? </w:t>
      </w:r>
      <w:r w:rsidRPr="002B1EF5">
        <w:rPr>
          <w:b/>
        </w:rPr>
        <w:t>Most large programs are authored by many people over the</w:t>
      </w:r>
      <w:r>
        <w:rPr>
          <w:b/>
        </w:rPr>
        <w:t xml:space="preserve"> </w:t>
      </w:r>
      <w:r w:rsidRPr="002B1EF5">
        <w:rPr>
          <w:b/>
        </w:rPr>
        <w:t>course of months or years! Sometimes you don’t need (or want) to know the details of another programming segment—if it ain’t broke, don’t fix it. To keep from accidentally changing code, it</w:t>
      </w:r>
      <w:r>
        <w:rPr>
          <w:b/>
        </w:rPr>
        <w:t>’</w:t>
      </w:r>
      <w:r w:rsidRPr="002B1EF5">
        <w:rPr>
          <w:b/>
        </w:rPr>
        <w:t>s best practice to “protect” it by encapsulation.</w:t>
      </w:r>
    </w:p>
    <w:p w14:paraId="45814FAF" w14:textId="77777777" w:rsidR="00A91925" w:rsidRPr="003012C5" w:rsidRDefault="00A91925" w:rsidP="00A91925">
      <w:pPr>
        <w:rPr>
          <w:u w:val="single"/>
        </w:rPr>
      </w:pPr>
      <w:r w:rsidRPr="003012C5">
        <w:rPr>
          <w:u w:val="single"/>
        </w:rPr>
        <w:t>Private Fields</w:t>
      </w:r>
    </w:p>
    <w:p w14:paraId="0CDAD52D" w14:textId="77777777" w:rsidR="00A91925" w:rsidRPr="003012C5" w:rsidRDefault="00A91925" w:rsidP="00A91925">
      <w:pPr>
        <w:rPr>
          <w:i/>
        </w:rPr>
      </w:pPr>
      <w:r w:rsidRPr="003012C5">
        <w:rPr>
          <w:i/>
        </w:rPr>
        <w:t>Guidance for student teachers</w:t>
      </w:r>
    </w:p>
    <w:p w14:paraId="4230E8B4" w14:textId="77777777" w:rsidR="00A91925" w:rsidRDefault="00A91925" w:rsidP="00A91925">
      <w:pPr>
        <w:ind w:left="1080" w:hanging="360"/>
      </w:pPr>
      <w:r w:rsidRPr="003012C5">
        <w:t>1. If students are having trouble outlining their lesson, suggest that they start with the fourth complete version of code in the textbook. If they use the textbook example, make sure they point out which program is the client code.</w:t>
      </w:r>
    </w:p>
    <w:p w14:paraId="695C148F" w14:textId="77777777" w:rsidR="00A91925" w:rsidRDefault="00A91925" w:rsidP="00A91925">
      <w:pPr>
        <w:ind w:left="1080" w:hanging="360"/>
      </w:pPr>
      <w:r w:rsidRPr="003012C5">
        <w:t>2. A good “Tricky Code Cheat Sheet” tip would be the convention of fields at the top of the class, followed by constructors, followed by methods.</w:t>
      </w:r>
    </w:p>
    <w:p w14:paraId="30CAACEE" w14:textId="77777777" w:rsidR="00A91925" w:rsidRPr="003012C5" w:rsidRDefault="00A91925" w:rsidP="00A91925">
      <w:pPr>
        <w:rPr>
          <w:i/>
        </w:rPr>
      </w:pPr>
      <w:r w:rsidRPr="003012C5">
        <w:rPr>
          <w:i/>
        </w:rPr>
        <w:t>Common Questions/Answers</w:t>
      </w:r>
    </w:p>
    <w:p w14:paraId="6A58F9B4" w14:textId="77777777" w:rsidR="00A91925" w:rsidRPr="003012C5" w:rsidRDefault="00A91925" w:rsidP="00A91925">
      <w:pPr>
        <w:ind w:left="1080" w:hanging="450"/>
      </w:pPr>
      <w:r w:rsidRPr="003012C5">
        <w:t xml:space="preserve">1. What is the scope of private fields? </w:t>
      </w:r>
      <w:r w:rsidRPr="003012C5">
        <w:rPr>
          <w:b/>
        </w:rPr>
        <w:t>Private fields are visible to all of the code inside the Point class, including the instances of the class. Client code cannot directly refer to an object’s fields if you’ve encapsulated them (marked them as private).</w:t>
      </w:r>
    </w:p>
    <w:p w14:paraId="72706706" w14:textId="77777777" w:rsidR="00A91925" w:rsidRDefault="00A91925" w:rsidP="00A91925">
      <w:pPr>
        <w:ind w:left="1080" w:hanging="450"/>
      </w:pPr>
      <w:r w:rsidRPr="003012C5">
        <w:t xml:space="preserve">2. But what if we still want client code to have to read some of the fields? </w:t>
      </w:r>
      <w:r w:rsidRPr="003012C5">
        <w:rPr>
          <w:b/>
        </w:rPr>
        <w:t>Write an accessor method (a “get” method). It returns a copy of the field’s values to the client, so the client can see the values, but can’t modify them.</w:t>
      </w:r>
    </w:p>
    <w:p w14:paraId="2B61D356" w14:textId="77777777" w:rsidR="00A91925" w:rsidRPr="003012C5" w:rsidRDefault="00A91925" w:rsidP="00A91925">
      <w:pPr>
        <w:rPr>
          <w:u w:val="single"/>
        </w:rPr>
      </w:pPr>
      <w:r w:rsidRPr="003012C5">
        <w:rPr>
          <w:u w:val="single"/>
        </w:rPr>
        <w:t>Class Invariants</w:t>
      </w:r>
    </w:p>
    <w:p w14:paraId="62F55FF5" w14:textId="77777777" w:rsidR="00A91925" w:rsidRPr="003012C5" w:rsidRDefault="00A91925" w:rsidP="00A91925">
      <w:pPr>
        <w:rPr>
          <w:i/>
        </w:rPr>
      </w:pPr>
      <w:r w:rsidRPr="003012C5">
        <w:rPr>
          <w:i/>
        </w:rPr>
        <w:t>Guidance for student teachers</w:t>
      </w:r>
    </w:p>
    <w:p w14:paraId="7A6F3269" w14:textId="77777777" w:rsidR="00A91925" w:rsidRPr="003012C5" w:rsidRDefault="00A91925" w:rsidP="00A91925">
      <w:pPr>
        <w:ind w:left="1080" w:hanging="360"/>
      </w:pPr>
      <w:r w:rsidRPr="003012C5">
        <w:t>1. Remind students to include the definition of a class invariant for students to record in their notebooks.</w:t>
      </w:r>
    </w:p>
    <w:p w14:paraId="16EDE261" w14:textId="77777777" w:rsidR="00A91925" w:rsidRPr="003012C5" w:rsidRDefault="00A91925" w:rsidP="00A91925">
      <w:pPr>
        <w:ind w:left="1080" w:hanging="360"/>
      </w:pPr>
      <w:r w:rsidRPr="003012C5">
        <w:t xml:space="preserve">2. Since we did not cover the </w:t>
      </w:r>
      <w:r w:rsidRPr="004667BB">
        <w:rPr>
          <w:rFonts w:ascii="Courier New" w:hAnsi="Courier New" w:cs="Courier New"/>
        </w:rPr>
        <w:t>this</w:t>
      </w:r>
      <w:r w:rsidRPr="003012C5">
        <w:t xml:space="preserve"> keyword, you should point out to the group that the </w:t>
      </w:r>
      <w:r w:rsidRPr="004667BB">
        <w:rPr>
          <w:rFonts w:ascii="Courier New" w:hAnsi="Courier New" w:cs="Courier New"/>
        </w:rPr>
        <w:t>this</w:t>
      </w:r>
      <w:r w:rsidRPr="003012C5">
        <w:t xml:space="preserve"> keyword in the example allows the code to directly refer to the implicit parameter. Since this might be confusing, you should give this group extra assistance, or assign your most advanced group this lesson.</w:t>
      </w:r>
    </w:p>
    <w:p w14:paraId="3F125D02" w14:textId="77777777" w:rsidR="00A91925" w:rsidRDefault="00A91925" w:rsidP="00A91925">
      <w:pPr>
        <w:ind w:left="1080" w:hanging="360"/>
      </w:pPr>
      <w:r w:rsidRPr="003012C5">
        <w:t>3. Using division/modulus 60 to convert seconds to minutes or minutes to hours as outlined in the book is a useful tip for the “Tricky Code Cheat Sheet.”</w:t>
      </w:r>
    </w:p>
    <w:p w14:paraId="59E37C5F" w14:textId="77777777" w:rsidR="00A91925" w:rsidRPr="003012C5" w:rsidRDefault="00A91925" w:rsidP="00A91925">
      <w:pPr>
        <w:rPr>
          <w:i/>
        </w:rPr>
      </w:pPr>
      <w:r w:rsidRPr="003012C5">
        <w:rPr>
          <w:i/>
        </w:rPr>
        <w:t>Common Questions/Answers</w:t>
      </w:r>
    </w:p>
    <w:p w14:paraId="07273636" w14:textId="77777777" w:rsidR="00A91925" w:rsidRPr="003012C5" w:rsidRDefault="00A91925" w:rsidP="00A91925">
      <w:pPr>
        <w:ind w:left="1080" w:hanging="360"/>
      </w:pPr>
      <w:r w:rsidRPr="003012C5">
        <w:lastRenderedPageBreak/>
        <w:t xml:space="preserve">1. How is enforcing a class invariant different from using a class constant? </w:t>
      </w:r>
      <w:r w:rsidRPr="003012C5">
        <w:rPr>
          <w:b/>
        </w:rPr>
        <w:t>A class constant will always stay the same value; it does not ever change. A class invariant is a fact about some data that you as the programmer assert will always be true. For instance, in Pokemon, each stat must be less than 255—that is the max value you can have for any one stat. The value itself may go up or down depending on what happens to your Pokemon in the game, but it will always be less than 255.</w:t>
      </w:r>
    </w:p>
    <w:p w14:paraId="0657661A" w14:textId="77777777" w:rsidR="00A91925" w:rsidRPr="003012C5" w:rsidRDefault="00A91925" w:rsidP="00A91925">
      <w:pPr>
        <w:ind w:left="1080" w:hanging="360"/>
      </w:pPr>
      <w:r w:rsidRPr="003012C5">
        <w:t xml:space="preserve">2. Can you use a mutator method to change the class invariants? </w:t>
      </w:r>
      <w:r w:rsidRPr="003012C5">
        <w:rPr>
          <w:b/>
        </w:rPr>
        <w:t>No, so pick and choose your invariants with caution!</w:t>
      </w:r>
    </w:p>
    <w:p w14:paraId="61F49490" w14:textId="77777777" w:rsidR="00A91925" w:rsidRPr="003012C5" w:rsidRDefault="00A91925" w:rsidP="00A91925">
      <w:pPr>
        <w:ind w:left="1080" w:hanging="360"/>
        <w:jc w:val="center"/>
      </w:pPr>
      <w:r w:rsidRPr="003012C5">
        <w:t>3. Skip the exceptions example—exceptions are not on the AP exam and will not be tested!</w:t>
      </w:r>
    </w:p>
    <w:p w14:paraId="0493D451" w14:textId="77777777" w:rsidR="00A91925" w:rsidRPr="002353B5" w:rsidRDefault="00A91925" w:rsidP="00A91925">
      <w:pPr>
        <w:rPr>
          <w:u w:val="single"/>
        </w:rPr>
      </w:pPr>
      <w:r w:rsidRPr="002353B5">
        <w:rPr>
          <w:u w:val="single"/>
        </w:rPr>
        <w:t>Changing Internal Implementations</w:t>
      </w:r>
    </w:p>
    <w:p w14:paraId="3644C88C" w14:textId="77777777" w:rsidR="00A91925" w:rsidRPr="002353B5" w:rsidRDefault="00A91925" w:rsidP="00A91925">
      <w:pPr>
        <w:rPr>
          <w:i/>
        </w:rPr>
      </w:pPr>
      <w:r w:rsidRPr="002353B5">
        <w:rPr>
          <w:i/>
        </w:rPr>
        <w:t>Guidance for student teachers</w:t>
      </w:r>
    </w:p>
    <w:p w14:paraId="07CE6147" w14:textId="77777777" w:rsidR="00A91925" w:rsidRPr="002353B5" w:rsidRDefault="00A91925" w:rsidP="00A91925">
      <w:pPr>
        <w:ind w:left="1080" w:hanging="360"/>
      </w:pPr>
      <w:r w:rsidRPr="002353B5">
        <w:t>1. If students need guidance on structuring their lesson, encourage them to coordinate with the group teaching class invariants, since they will be modifying the code taught by that group. They might also want to refer to the “Did You Know” blue box in the section.</w:t>
      </w:r>
    </w:p>
    <w:p w14:paraId="1376A009" w14:textId="77777777" w:rsidR="00A91925" w:rsidRDefault="00A91925" w:rsidP="00A91925">
      <w:pPr>
        <w:ind w:left="1080" w:hanging="360"/>
      </w:pPr>
      <w:r w:rsidRPr="002353B5">
        <w:t>2. A good tip for the Tricky Code Cheat Sheet could be the simpler time span code.</w:t>
      </w:r>
    </w:p>
    <w:p w14:paraId="430FD8E2" w14:textId="77777777" w:rsidR="00A91925" w:rsidRPr="002353B5" w:rsidRDefault="00A91925" w:rsidP="00A91925">
      <w:pPr>
        <w:rPr>
          <w:i/>
        </w:rPr>
      </w:pPr>
      <w:r w:rsidRPr="002353B5">
        <w:rPr>
          <w:i/>
        </w:rPr>
        <w:t>Common Questions/Answers</w:t>
      </w:r>
    </w:p>
    <w:p w14:paraId="520038C8" w14:textId="77777777" w:rsidR="00A91925" w:rsidRPr="002353B5" w:rsidRDefault="00A91925" w:rsidP="00A91925">
      <w:pPr>
        <w:ind w:left="1080" w:hanging="360"/>
        <w:rPr>
          <w:b/>
        </w:rPr>
      </w:pPr>
      <w:r w:rsidRPr="002353B5">
        <w:t xml:space="preserve">1. How come changing the internal design does affect client code? </w:t>
      </w:r>
      <w:r w:rsidRPr="002353B5">
        <w:rPr>
          <w:b/>
        </w:rPr>
        <w:t>Since you encapsulated your class, the client code won’t know that you changed the internal state. The only way your changing the class code can mess with a client program is if you change the constructors or method headers.</w:t>
      </w:r>
    </w:p>
    <w:p w14:paraId="09E20627" w14:textId="25F984A6" w:rsidR="005466E1" w:rsidRDefault="005466E1" w:rsidP="005466E1">
      <w:pPr>
        <w:pStyle w:val="Heading2"/>
      </w:pPr>
      <w:r>
        <w:t>Student Preparation of Lesson [30 minutes]</w:t>
      </w:r>
    </w:p>
    <w:p w14:paraId="40C6D46D" w14:textId="11A916AE" w:rsidR="002353B5" w:rsidRDefault="005466E1" w:rsidP="002353B5">
      <w:pPr>
        <w:pStyle w:val="ProcedureText"/>
      </w:pPr>
      <w:r>
        <w:t>1</w:t>
      </w:r>
      <w:r w:rsidR="002353B5" w:rsidRPr="002353B5">
        <w:t>. Give each group 7 minutes to present their topic and 2 minutes for questions.</w:t>
      </w:r>
    </w:p>
    <w:p w14:paraId="26D02A99" w14:textId="59AF426E" w:rsidR="002353B5" w:rsidRPr="002353B5" w:rsidRDefault="005466E1" w:rsidP="002353B5">
      <w:pPr>
        <w:pStyle w:val="ProcedureText"/>
      </w:pPr>
      <w:r>
        <w:t>2</w:t>
      </w:r>
      <w:r w:rsidR="002353B5" w:rsidRPr="002353B5">
        <w:t>. Encourage students to ask questions, and be sure to ask a question or two of each team (depending on how many teams you have).</w:t>
      </w:r>
    </w:p>
    <w:p w14:paraId="2C3F72F2" w14:textId="68C86E9A" w:rsidR="005466E1" w:rsidRDefault="005466E1" w:rsidP="005466E1">
      <w:pPr>
        <w:pStyle w:val="ProcedureText"/>
      </w:pPr>
      <w:r>
        <w:t>3. Use the grading rubric as outlined here:</w:t>
      </w:r>
    </w:p>
    <w:tbl>
      <w:tblPr>
        <w:tblStyle w:val="TableGrid"/>
        <w:tblW w:w="0" w:type="auto"/>
        <w:tblInd w:w="720" w:type="dxa"/>
        <w:tblLook w:val="04A0" w:firstRow="1" w:lastRow="0" w:firstColumn="1" w:lastColumn="0" w:noHBand="0" w:noVBand="1"/>
      </w:tblPr>
      <w:tblGrid>
        <w:gridCol w:w="2631"/>
        <w:gridCol w:w="2631"/>
        <w:gridCol w:w="2517"/>
        <w:gridCol w:w="2517"/>
      </w:tblGrid>
      <w:tr w:rsidR="005466E1" w14:paraId="072068E7" w14:textId="77777777" w:rsidTr="002D757A">
        <w:tc>
          <w:tcPr>
            <w:tcW w:w="2631" w:type="dxa"/>
          </w:tcPr>
          <w:p w14:paraId="3E9C29CA" w14:textId="77777777" w:rsidR="005466E1" w:rsidRPr="005466E1" w:rsidRDefault="005466E1" w:rsidP="002D757A">
            <w:pPr>
              <w:rPr>
                <w:rFonts w:ascii="Calibri" w:hAnsi="Calibri"/>
              </w:rPr>
            </w:pPr>
            <w:r w:rsidRPr="005466E1">
              <w:rPr>
                <w:rFonts w:ascii="Calibri" w:hAnsi="Calibri"/>
              </w:rPr>
              <w:t>3 pts.</w:t>
            </w:r>
          </w:p>
        </w:tc>
        <w:tc>
          <w:tcPr>
            <w:tcW w:w="2631" w:type="dxa"/>
          </w:tcPr>
          <w:p w14:paraId="07FBFE62" w14:textId="77777777" w:rsidR="005466E1" w:rsidRPr="005466E1" w:rsidRDefault="005466E1" w:rsidP="002D757A">
            <w:pPr>
              <w:rPr>
                <w:rFonts w:ascii="Calibri" w:hAnsi="Calibri"/>
              </w:rPr>
            </w:pPr>
            <w:r w:rsidRPr="005466E1">
              <w:rPr>
                <w:rFonts w:ascii="Calibri" w:hAnsi="Calibri"/>
              </w:rPr>
              <w:t>2 pts.</w:t>
            </w:r>
          </w:p>
        </w:tc>
        <w:tc>
          <w:tcPr>
            <w:tcW w:w="2517" w:type="dxa"/>
          </w:tcPr>
          <w:p w14:paraId="695A9A77" w14:textId="77777777" w:rsidR="005466E1" w:rsidRPr="005466E1" w:rsidRDefault="005466E1" w:rsidP="002D757A">
            <w:pPr>
              <w:rPr>
                <w:rFonts w:ascii="Calibri" w:hAnsi="Calibri"/>
              </w:rPr>
            </w:pPr>
            <w:r w:rsidRPr="005466E1">
              <w:rPr>
                <w:rFonts w:ascii="Calibri" w:hAnsi="Calibri"/>
              </w:rPr>
              <w:t>1 pts.</w:t>
            </w:r>
          </w:p>
        </w:tc>
        <w:tc>
          <w:tcPr>
            <w:tcW w:w="2517" w:type="dxa"/>
          </w:tcPr>
          <w:p w14:paraId="53E4AF28" w14:textId="77777777" w:rsidR="005466E1" w:rsidRPr="005466E1" w:rsidRDefault="005466E1" w:rsidP="002D757A">
            <w:pPr>
              <w:rPr>
                <w:rFonts w:ascii="Calibri" w:hAnsi="Calibri"/>
              </w:rPr>
            </w:pPr>
            <w:r w:rsidRPr="005466E1">
              <w:rPr>
                <w:rFonts w:ascii="Calibri" w:hAnsi="Calibri"/>
              </w:rPr>
              <w:t>0 pts.</w:t>
            </w:r>
          </w:p>
        </w:tc>
      </w:tr>
      <w:tr w:rsidR="005466E1" w14:paraId="0B55BC28" w14:textId="77777777" w:rsidTr="002D757A">
        <w:tc>
          <w:tcPr>
            <w:tcW w:w="2631" w:type="dxa"/>
          </w:tcPr>
          <w:p w14:paraId="01651175" w14:textId="77777777" w:rsidR="005466E1" w:rsidRPr="005466E1" w:rsidRDefault="005466E1" w:rsidP="002D757A">
            <w:pPr>
              <w:rPr>
                <w:rFonts w:ascii="Calibri" w:hAnsi="Calibri"/>
              </w:rPr>
            </w:pPr>
            <w:r w:rsidRPr="005466E1">
              <w:rPr>
                <w:rFonts w:ascii="Calibri" w:hAnsi="Calibri"/>
              </w:rPr>
              <w:t>Presentation includes definitions and an example with proper syntax.</w:t>
            </w:r>
          </w:p>
        </w:tc>
        <w:tc>
          <w:tcPr>
            <w:tcW w:w="2631" w:type="dxa"/>
          </w:tcPr>
          <w:p w14:paraId="1D5B5713" w14:textId="77777777" w:rsidR="005466E1" w:rsidRPr="005466E1" w:rsidRDefault="005466E1" w:rsidP="002D757A">
            <w:pPr>
              <w:rPr>
                <w:rFonts w:ascii="Calibri" w:hAnsi="Calibri"/>
              </w:rPr>
            </w:pPr>
            <w:r w:rsidRPr="005466E1">
              <w:rPr>
                <w:rFonts w:ascii="Calibri" w:hAnsi="Calibri"/>
              </w:rPr>
              <w:t>Presentation includes definitions or an example with proper syntax.</w:t>
            </w:r>
          </w:p>
        </w:tc>
        <w:tc>
          <w:tcPr>
            <w:tcW w:w="2517" w:type="dxa"/>
          </w:tcPr>
          <w:p w14:paraId="542835C4" w14:textId="77777777" w:rsidR="005466E1" w:rsidRPr="005466E1" w:rsidRDefault="005466E1" w:rsidP="002D757A">
            <w:pPr>
              <w:rPr>
                <w:rFonts w:ascii="Calibri" w:hAnsi="Calibri"/>
              </w:rPr>
            </w:pPr>
            <w:r w:rsidRPr="005466E1">
              <w:rPr>
                <w:rFonts w:ascii="Calibri" w:hAnsi="Calibri"/>
              </w:rPr>
              <w:t>Presentation includes definitions or an example with proper syntax with few mistakes.</w:t>
            </w:r>
          </w:p>
        </w:tc>
        <w:tc>
          <w:tcPr>
            <w:tcW w:w="2517" w:type="dxa"/>
          </w:tcPr>
          <w:p w14:paraId="25A37895" w14:textId="77777777" w:rsidR="005466E1" w:rsidRPr="005466E1" w:rsidRDefault="005466E1" w:rsidP="002D757A">
            <w:pPr>
              <w:rPr>
                <w:rFonts w:ascii="Calibri" w:hAnsi="Calibri"/>
              </w:rPr>
            </w:pPr>
            <w:r w:rsidRPr="005466E1">
              <w:rPr>
                <w:rFonts w:ascii="Calibri" w:hAnsi="Calibri"/>
              </w:rPr>
              <w:t>Presentation includes definitions or an example with proper syntax with many mistakes.</w:t>
            </w:r>
          </w:p>
        </w:tc>
      </w:tr>
      <w:tr w:rsidR="005466E1" w14:paraId="2FEEF2A3" w14:textId="77777777" w:rsidTr="002D757A">
        <w:tc>
          <w:tcPr>
            <w:tcW w:w="2631" w:type="dxa"/>
          </w:tcPr>
          <w:p w14:paraId="731FFDB4" w14:textId="77777777" w:rsidR="005466E1" w:rsidRPr="005466E1" w:rsidRDefault="005466E1" w:rsidP="002D757A">
            <w:pPr>
              <w:rPr>
                <w:rFonts w:ascii="Calibri" w:hAnsi="Calibri"/>
              </w:rPr>
            </w:pPr>
            <w:r w:rsidRPr="005466E1">
              <w:rPr>
                <w:rFonts w:ascii="Calibri" w:hAnsi="Calibri"/>
              </w:rPr>
              <w:t>Presentation includes a non-example as helpful contrast.</w:t>
            </w:r>
          </w:p>
        </w:tc>
        <w:tc>
          <w:tcPr>
            <w:tcW w:w="2631" w:type="dxa"/>
          </w:tcPr>
          <w:p w14:paraId="2D54E4EB" w14:textId="77777777" w:rsidR="005466E1" w:rsidRPr="005466E1" w:rsidRDefault="005466E1" w:rsidP="002D757A">
            <w:pPr>
              <w:rPr>
                <w:rFonts w:ascii="Calibri" w:hAnsi="Calibri"/>
              </w:rPr>
            </w:pPr>
            <w:r w:rsidRPr="005466E1">
              <w:rPr>
                <w:rFonts w:ascii="Calibri" w:hAnsi="Calibri"/>
              </w:rPr>
              <w:t>Presentation includes a non-example that is marginally helpful.</w:t>
            </w:r>
          </w:p>
        </w:tc>
        <w:tc>
          <w:tcPr>
            <w:tcW w:w="2517" w:type="dxa"/>
          </w:tcPr>
          <w:p w14:paraId="2CDECF08" w14:textId="77777777" w:rsidR="005466E1" w:rsidRPr="005466E1" w:rsidRDefault="005466E1" w:rsidP="002D757A">
            <w:pPr>
              <w:rPr>
                <w:rFonts w:ascii="Calibri" w:hAnsi="Calibri"/>
              </w:rPr>
            </w:pPr>
            <w:r w:rsidRPr="005466E1">
              <w:rPr>
                <w:rFonts w:ascii="Calibri" w:hAnsi="Calibri"/>
              </w:rPr>
              <w:t>Presentation includes a non-example that does not add to comprehension.</w:t>
            </w:r>
          </w:p>
        </w:tc>
        <w:tc>
          <w:tcPr>
            <w:tcW w:w="2517" w:type="dxa"/>
          </w:tcPr>
          <w:p w14:paraId="7AB94091" w14:textId="77777777" w:rsidR="005466E1" w:rsidRPr="005466E1" w:rsidRDefault="005466E1" w:rsidP="002D757A">
            <w:pPr>
              <w:rPr>
                <w:rFonts w:ascii="Calibri" w:hAnsi="Calibri"/>
              </w:rPr>
            </w:pPr>
            <w:r w:rsidRPr="005466E1">
              <w:rPr>
                <w:rFonts w:ascii="Calibri" w:hAnsi="Calibri"/>
              </w:rPr>
              <w:t>Presentation includes a non-example that adds confusion, or presentation does not include a non-example.</w:t>
            </w:r>
          </w:p>
        </w:tc>
      </w:tr>
      <w:tr w:rsidR="005466E1" w14:paraId="4E758AF7" w14:textId="77777777" w:rsidTr="002D757A">
        <w:tc>
          <w:tcPr>
            <w:tcW w:w="2631" w:type="dxa"/>
          </w:tcPr>
          <w:p w14:paraId="7CDF29B5" w14:textId="77777777" w:rsidR="005466E1" w:rsidRPr="005466E1" w:rsidRDefault="005466E1" w:rsidP="002D757A">
            <w:pPr>
              <w:rPr>
                <w:rFonts w:ascii="Calibri" w:hAnsi="Calibri"/>
              </w:rPr>
            </w:pPr>
            <w:r w:rsidRPr="005466E1">
              <w:rPr>
                <w:rFonts w:ascii="Calibri" w:hAnsi="Calibri"/>
              </w:rPr>
              <w:t>Presentation includes a helpful tip that is clearly explained and concisely stated.</w:t>
            </w:r>
          </w:p>
        </w:tc>
        <w:tc>
          <w:tcPr>
            <w:tcW w:w="2631" w:type="dxa"/>
          </w:tcPr>
          <w:p w14:paraId="1850046F" w14:textId="77777777" w:rsidR="005466E1" w:rsidRPr="005466E1" w:rsidRDefault="005466E1" w:rsidP="002D757A">
            <w:pPr>
              <w:rPr>
                <w:rFonts w:ascii="Calibri" w:hAnsi="Calibri"/>
              </w:rPr>
            </w:pPr>
            <w:r w:rsidRPr="005466E1">
              <w:rPr>
                <w:rFonts w:ascii="Calibri" w:hAnsi="Calibri"/>
              </w:rPr>
              <w:t>Presentation includes a helpful tip that is clearly explained or concisely stated.</w:t>
            </w:r>
          </w:p>
        </w:tc>
        <w:tc>
          <w:tcPr>
            <w:tcW w:w="2517" w:type="dxa"/>
          </w:tcPr>
          <w:p w14:paraId="50C6DD95" w14:textId="77777777" w:rsidR="005466E1" w:rsidRPr="005466E1" w:rsidRDefault="005466E1" w:rsidP="002D757A">
            <w:pPr>
              <w:rPr>
                <w:rFonts w:ascii="Calibri" w:hAnsi="Calibri"/>
              </w:rPr>
            </w:pPr>
            <w:r w:rsidRPr="005466E1">
              <w:rPr>
                <w:rFonts w:ascii="Calibri" w:hAnsi="Calibri"/>
              </w:rPr>
              <w:t>Presentation includes a helpful tip that is not clearly explained and may include a small error.</w:t>
            </w:r>
          </w:p>
        </w:tc>
        <w:tc>
          <w:tcPr>
            <w:tcW w:w="2517" w:type="dxa"/>
          </w:tcPr>
          <w:p w14:paraId="782F6D00" w14:textId="77777777" w:rsidR="005466E1" w:rsidRPr="005466E1" w:rsidRDefault="005466E1" w:rsidP="002D757A">
            <w:pPr>
              <w:rPr>
                <w:rFonts w:ascii="Calibri" w:hAnsi="Calibri"/>
              </w:rPr>
            </w:pPr>
            <w:r w:rsidRPr="005466E1">
              <w:rPr>
                <w:rFonts w:ascii="Calibri" w:hAnsi="Calibri"/>
              </w:rPr>
              <w:t>Presentation does not include a helpful tip or hint.</w:t>
            </w:r>
          </w:p>
        </w:tc>
      </w:tr>
    </w:tbl>
    <w:p w14:paraId="47E5F834" w14:textId="77777777" w:rsidR="007A0094" w:rsidRDefault="007A0094" w:rsidP="005466E1">
      <w:pPr>
        <w:pStyle w:val="Heading1"/>
        <w:ind w:left="360"/>
      </w:pPr>
      <w:r>
        <w:t>Accommodation and Differentiation</w:t>
      </w:r>
    </w:p>
    <w:p w14:paraId="5559D7D4" w14:textId="77777777" w:rsidR="005466E1" w:rsidRDefault="005466E1" w:rsidP="005466E1">
      <w:pPr>
        <w:pStyle w:val="ProcedureText"/>
      </w:pPr>
      <w:r w:rsidRPr="008963C8">
        <w:lastRenderedPageBreak/>
        <w:t>Circle around the room to help students through reading the text in the textbook.  Make sure that each of your working teams is properly stratified (rather than using tiered grouping).</w:t>
      </w:r>
    </w:p>
    <w:p w14:paraId="72B9D1C1" w14:textId="77777777" w:rsidR="005466E1" w:rsidRDefault="005466E1" w:rsidP="005466E1">
      <w:pPr>
        <w:pStyle w:val="ProcedureText"/>
      </w:pPr>
      <w:r w:rsidRPr="008963C8">
        <w:t>If students are speeding along, encourage students to write down questions to pose to other groups during mini-lessons.</w:t>
      </w:r>
      <w:r>
        <w:t xml:space="preserve"> If a group finishes early, encourage them to rehearse lesson delivery.</w:t>
      </w:r>
    </w:p>
    <w:sectPr w:rsidR="005466E1"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64836" w14:textId="77777777" w:rsidR="003012C5" w:rsidRDefault="003012C5" w:rsidP="00342D88">
      <w:r>
        <w:separator/>
      </w:r>
    </w:p>
  </w:endnote>
  <w:endnote w:type="continuationSeparator" w:id="0">
    <w:p w14:paraId="144A83DF" w14:textId="77777777" w:rsidR="003012C5" w:rsidRDefault="003012C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AA14A" w14:textId="77777777" w:rsidR="003012C5" w:rsidRDefault="003012C5">
    <w:pPr>
      <w:pStyle w:val="Footer"/>
    </w:pPr>
    <w:r w:rsidRPr="00E91FE7">
      <w:rPr>
        <w:noProof/>
      </w:rPr>
      <mc:AlternateContent>
        <mc:Choice Requires="wps">
          <w:drawing>
            <wp:anchor distT="0" distB="0" distL="114300" distR="114300" simplePos="0" relativeHeight="251679744" behindDoc="0" locked="0" layoutInCell="1" allowOverlap="1" wp14:anchorId="3A1BFD92" wp14:editId="5EDB9FF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F3ABB" w14:textId="77777777" w:rsidR="003012C5" w:rsidRPr="00CE5977" w:rsidRDefault="003012C5" w:rsidP="00CE5977">
                          <w:pPr>
                            <w:jc w:val="right"/>
                            <w:rPr>
                              <w:szCs w:val="24"/>
                            </w:rPr>
                          </w:pPr>
                          <w:r>
                            <w:rPr>
                              <w:szCs w:val="24"/>
                            </w:rPr>
                            <w:t>rev.</w:t>
                          </w:r>
                          <w:r w:rsidRPr="003D525B">
                            <w:rPr>
                              <w:szCs w:val="24"/>
                            </w:rPr>
                            <w:t> </w:t>
                          </w:r>
                          <w:r>
                            <w:rPr>
                              <w:szCs w:val="24"/>
                            </w:rPr>
                            <w:t>6/15/15</w:t>
                          </w:r>
                        </w:p>
                        <w:p w14:paraId="193CF2E6"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3F28A9" w14:textId="77777777" w:rsidR="003012C5" w:rsidRPr="003D525B" w:rsidRDefault="003012C5" w:rsidP="00CE5977">
                          <w:pPr>
                            <w:jc w:val="right"/>
                            <w:rPr>
                              <w:szCs w:val="24"/>
                            </w:rPr>
                          </w:pPr>
                        </w:p>
                        <w:p w14:paraId="5C07C3B1" w14:textId="77777777" w:rsidR="003012C5" w:rsidRPr="003D525B" w:rsidRDefault="003012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BFD92"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EBF3ABB" w14:textId="77777777" w:rsidR="003012C5" w:rsidRPr="00CE5977" w:rsidRDefault="003012C5" w:rsidP="00CE5977">
                    <w:pPr>
                      <w:jc w:val="right"/>
                      <w:rPr>
                        <w:szCs w:val="24"/>
                      </w:rPr>
                    </w:pPr>
                    <w:r>
                      <w:rPr>
                        <w:szCs w:val="24"/>
                      </w:rPr>
                      <w:t>rev.</w:t>
                    </w:r>
                    <w:r w:rsidRPr="003D525B">
                      <w:rPr>
                        <w:szCs w:val="24"/>
                      </w:rPr>
                      <w:t> </w:t>
                    </w:r>
                    <w:r>
                      <w:rPr>
                        <w:szCs w:val="24"/>
                      </w:rPr>
                      <w:t>6/15/15</w:t>
                    </w:r>
                  </w:p>
                  <w:p w14:paraId="193CF2E6"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3F28A9" w14:textId="77777777" w:rsidR="003012C5" w:rsidRPr="003D525B" w:rsidRDefault="003012C5" w:rsidP="00CE5977">
                    <w:pPr>
                      <w:jc w:val="right"/>
                      <w:rPr>
                        <w:szCs w:val="24"/>
                      </w:rPr>
                    </w:pPr>
                  </w:p>
                  <w:p w14:paraId="5C07C3B1" w14:textId="77777777" w:rsidR="003012C5" w:rsidRPr="003D525B" w:rsidRDefault="003012C5"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A954723" wp14:editId="3BD6D33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B71EC74" wp14:editId="1C88E13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88F9E1" w14:textId="77777777" w:rsidR="003012C5" w:rsidRPr="00EC2EDF" w:rsidRDefault="003012C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4E71CE8" w14:textId="77777777" w:rsidR="003012C5" w:rsidRPr="00EC2EDF" w:rsidRDefault="003012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4CC6E6" w14:textId="77777777" w:rsidR="003012C5" w:rsidRPr="00EC2EDF" w:rsidRDefault="003012C5" w:rsidP="00CE5977">
                          <w:pPr>
                            <w:rPr>
                              <w:sz w:val="22"/>
                              <w:szCs w:val="24"/>
                            </w:rPr>
                          </w:pPr>
                          <w:r w:rsidRPr="00EC2EDF">
                            <w:rPr>
                              <w:sz w:val="22"/>
                              <w:szCs w:val="24"/>
                            </w:rPr>
                            <w:t> </w:t>
                          </w:r>
                        </w:p>
                        <w:p w14:paraId="39773E7F" w14:textId="77777777" w:rsidR="003012C5" w:rsidRPr="00EC2EDF" w:rsidRDefault="003012C5" w:rsidP="00CE5977">
                          <w:pPr>
                            <w:jc w:val="center"/>
                            <w:rPr>
                              <w:sz w:val="22"/>
                              <w:szCs w:val="24"/>
                            </w:rPr>
                          </w:pPr>
                        </w:p>
                        <w:p w14:paraId="2EA558EB" w14:textId="77777777" w:rsidR="003012C5" w:rsidRPr="00EC2EDF" w:rsidRDefault="003012C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71EC74"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F88F9E1" w14:textId="77777777" w:rsidR="003012C5" w:rsidRPr="00EC2EDF" w:rsidRDefault="003012C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4E71CE8" w14:textId="77777777" w:rsidR="003012C5" w:rsidRPr="00EC2EDF" w:rsidRDefault="003012C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4CC6E6" w14:textId="77777777" w:rsidR="003012C5" w:rsidRPr="00EC2EDF" w:rsidRDefault="003012C5" w:rsidP="00CE5977">
                    <w:pPr>
                      <w:rPr>
                        <w:sz w:val="22"/>
                        <w:szCs w:val="24"/>
                      </w:rPr>
                    </w:pPr>
                    <w:r w:rsidRPr="00EC2EDF">
                      <w:rPr>
                        <w:sz w:val="22"/>
                        <w:szCs w:val="24"/>
                      </w:rPr>
                      <w:t> </w:t>
                    </w:r>
                  </w:p>
                  <w:p w14:paraId="39773E7F" w14:textId="77777777" w:rsidR="003012C5" w:rsidRPr="00EC2EDF" w:rsidRDefault="003012C5" w:rsidP="00CE5977">
                    <w:pPr>
                      <w:jc w:val="center"/>
                      <w:rPr>
                        <w:sz w:val="22"/>
                        <w:szCs w:val="24"/>
                      </w:rPr>
                    </w:pPr>
                  </w:p>
                  <w:p w14:paraId="2EA558EB" w14:textId="77777777" w:rsidR="003012C5" w:rsidRPr="00EC2EDF" w:rsidRDefault="003012C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A34512C" wp14:editId="541AD1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3B39E23" w14:textId="6022DC08" w:rsidR="003012C5" w:rsidRDefault="003012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91925" w:rsidRPr="00A91925">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CC69ABA" w14:textId="77777777" w:rsidR="003012C5" w:rsidRPr="003D525B" w:rsidRDefault="003012C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4512C"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3B39E23" w14:textId="6022DC08" w:rsidR="003012C5" w:rsidRDefault="003012C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91925" w:rsidRPr="00A91925">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CC69ABA" w14:textId="77777777" w:rsidR="003012C5" w:rsidRPr="003D525B" w:rsidRDefault="003012C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3D7EDDD" wp14:editId="2DCCFF71">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D2720" w14:textId="77777777" w:rsidR="003012C5" w:rsidRDefault="003012C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EDD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27D2720" w14:textId="77777777" w:rsidR="003012C5" w:rsidRDefault="003012C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C9CFE" w14:textId="77777777" w:rsidR="003012C5" w:rsidRDefault="003012C5">
    <w:pPr>
      <w:pStyle w:val="Footer"/>
    </w:pPr>
    <w:r w:rsidRPr="00E91FE7">
      <w:rPr>
        <w:noProof/>
      </w:rPr>
      <mc:AlternateContent>
        <mc:Choice Requires="wps">
          <w:drawing>
            <wp:anchor distT="0" distB="0" distL="114300" distR="114300" simplePos="0" relativeHeight="251672576" behindDoc="0" locked="0" layoutInCell="1" allowOverlap="1" wp14:anchorId="61980B2D" wp14:editId="20F1B144">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3F975" w14:textId="77777777" w:rsidR="003012C5" w:rsidRPr="00CE5977" w:rsidRDefault="003012C5" w:rsidP="00CE5977">
                          <w:pPr>
                            <w:jc w:val="right"/>
                            <w:rPr>
                              <w:szCs w:val="24"/>
                            </w:rPr>
                          </w:pPr>
                          <w:r>
                            <w:rPr>
                              <w:szCs w:val="24"/>
                            </w:rPr>
                            <w:t>rev.</w:t>
                          </w:r>
                          <w:r w:rsidRPr="003D525B">
                            <w:rPr>
                              <w:szCs w:val="24"/>
                            </w:rPr>
                            <w:t> </w:t>
                          </w:r>
                          <w:r>
                            <w:rPr>
                              <w:szCs w:val="24"/>
                            </w:rPr>
                            <w:t>6/15/15</w:t>
                          </w:r>
                        </w:p>
                        <w:p w14:paraId="3B95A12C"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654DA24" w14:textId="77777777" w:rsidR="003012C5" w:rsidRPr="003D525B" w:rsidRDefault="003012C5" w:rsidP="00CE5977">
                          <w:pPr>
                            <w:jc w:val="right"/>
                            <w:rPr>
                              <w:szCs w:val="24"/>
                            </w:rPr>
                          </w:pPr>
                        </w:p>
                        <w:p w14:paraId="30418A05" w14:textId="77777777" w:rsidR="003012C5" w:rsidRPr="003D525B" w:rsidRDefault="003012C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80B2D"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753F975" w14:textId="77777777" w:rsidR="003012C5" w:rsidRPr="00CE5977" w:rsidRDefault="003012C5" w:rsidP="00CE5977">
                    <w:pPr>
                      <w:jc w:val="right"/>
                      <w:rPr>
                        <w:szCs w:val="24"/>
                      </w:rPr>
                    </w:pPr>
                    <w:r>
                      <w:rPr>
                        <w:szCs w:val="24"/>
                      </w:rPr>
                      <w:t>rev.</w:t>
                    </w:r>
                    <w:r w:rsidRPr="003D525B">
                      <w:rPr>
                        <w:szCs w:val="24"/>
                      </w:rPr>
                      <w:t> </w:t>
                    </w:r>
                    <w:r>
                      <w:rPr>
                        <w:szCs w:val="24"/>
                      </w:rPr>
                      <w:t>6/15/15</w:t>
                    </w:r>
                  </w:p>
                  <w:p w14:paraId="3B95A12C" w14:textId="77777777" w:rsidR="003012C5" w:rsidRPr="003D525B" w:rsidRDefault="003012C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654DA24" w14:textId="77777777" w:rsidR="003012C5" w:rsidRPr="003D525B" w:rsidRDefault="003012C5" w:rsidP="00CE5977">
                    <w:pPr>
                      <w:jc w:val="right"/>
                      <w:rPr>
                        <w:szCs w:val="24"/>
                      </w:rPr>
                    </w:pPr>
                  </w:p>
                  <w:p w14:paraId="30418A05" w14:textId="77777777" w:rsidR="003012C5" w:rsidRPr="003D525B" w:rsidRDefault="003012C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32A311A" wp14:editId="34AAA38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30580" w14:textId="77777777" w:rsidR="003012C5" w:rsidRPr="00EC2EDF" w:rsidRDefault="003012C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C6CFE6" w14:textId="77777777" w:rsidR="003012C5" w:rsidRPr="00EC2EDF" w:rsidRDefault="003012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228093" w14:textId="77777777" w:rsidR="003012C5" w:rsidRPr="00EC2EDF" w:rsidRDefault="003012C5" w:rsidP="00EC2EDF">
                          <w:pPr>
                            <w:rPr>
                              <w:sz w:val="22"/>
                              <w:szCs w:val="24"/>
                            </w:rPr>
                          </w:pPr>
                          <w:r w:rsidRPr="00EC2EDF">
                            <w:rPr>
                              <w:sz w:val="22"/>
                              <w:szCs w:val="24"/>
                            </w:rPr>
                            <w:t> </w:t>
                          </w:r>
                        </w:p>
                        <w:p w14:paraId="4EAB4EF5" w14:textId="77777777" w:rsidR="003012C5" w:rsidRPr="00EC2EDF" w:rsidRDefault="003012C5" w:rsidP="00EC2EDF">
                          <w:pPr>
                            <w:jc w:val="center"/>
                            <w:rPr>
                              <w:sz w:val="22"/>
                              <w:szCs w:val="24"/>
                            </w:rPr>
                          </w:pPr>
                        </w:p>
                        <w:p w14:paraId="1D00F8C1" w14:textId="77777777" w:rsidR="003012C5" w:rsidRPr="00EC2EDF" w:rsidRDefault="003012C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A311A"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E130580" w14:textId="77777777" w:rsidR="003012C5" w:rsidRPr="00EC2EDF" w:rsidRDefault="003012C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AC6CFE6" w14:textId="77777777" w:rsidR="003012C5" w:rsidRPr="00EC2EDF" w:rsidRDefault="003012C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228093" w14:textId="77777777" w:rsidR="003012C5" w:rsidRPr="00EC2EDF" w:rsidRDefault="003012C5" w:rsidP="00EC2EDF">
                    <w:pPr>
                      <w:rPr>
                        <w:sz w:val="22"/>
                        <w:szCs w:val="24"/>
                      </w:rPr>
                    </w:pPr>
                    <w:r w:rsidRPr="00EC2EDF">
                      <w:rPr>
                        <w:sz w:val="22"/>
                        <w:szCs w:val="24"/>
                      </w:rPr>
                      <w:t> </w:t>
                    </w:r>
                  </w:p>
                  <w:p w14:paraId="4EAB4EF5" w14:textId="77777777" w:rsidR="003012C5" w:rsidRPr="00EC2EDF" w:rsidRDefault="003012C5" w:rsidP="00EC2EDF">
                    <w:pPr>
                      <w:jc w:val="center"/>
                      <w:rPr>
                        <w:sz w:val="22"/>
                        <w:szCs w:val="24"/>
                      </w:rPr>
                    </w:pPr>
                  </w:p>
                  <w:p w14:paraId="1D00F8C1" w14:textId="77777777" w:rsidR="003012C5" w:rsidRPr="00EC2EDF" w:rsidRDefault="003012C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14FB62E" wp14:editId="3A0CB12B">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29389"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3F589C7" wp14:editId="4DB351E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3594CF3" wp14:editId="43E9FE2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CDC2056" w14:textId="10E12552" w:rsidR="003012C5" w:rsidRDefault="003012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91925" w:rsidRPr="00A9192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D15E48" w14:textId="77777777" w:rsidR="003012C5" w:rsidRPr="003D525B" w:rsidRDefault="003012C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94CF3"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CDC2056" w14:textId="10E12552" w:rsidR="003012C5" w:rsidRDefault="003012C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91925" w:rsidRPr="00A9192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D15E48" w14:textId="77777777" w:rsidR="003012C5" w:rsidRPr="003D525B" w:rsidRDefault="003012C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2C85CB7" wp14:editId="5B99889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0C19D" w14:textId="77777777" w:rsidR="003012C5" w:rsidRDefault="003012C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85CB7"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700C19D" w14:textId="77777777" w:rsidR="003012C5" w:rsidRDefault="003012C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7DB38" w14:textId="77777777" w:rsidR="003012C5" w:rsidRDefault="003012C5" w:rsidP="00342D88">
      <w:r>
        <w:separator/>
      </w:r>
    </w:p>
  </w:footnote>
  <w:footnote w:type="continuationSeparator" w:id="0">
    <w:p w14:paraId="40B7F56A" w14:textId="77777777" w:rsidR="003012C5" w:rsidRDefault="003012C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F0272" w14:textId="77777777" w:rsidR="003012C5" w:rsidRDefault="003012C5" w:rsidP="00342D88">
    <w:pPr>
      <w:pStyle w:val="Title"/>
    </w:pPr>
    <w:r>
      <w:rPr>
        <w:noProof/>
      </w:rPr>
      <mc:AlternateContent>
        <mc:Choice Requires="wps">
          <w:drawing>
            <wp:anchor distT="0" distB="0" distL="114300" distR="114300" simplePos="0" relativeHeight="251659264" behindDoc="1" locked="0" layoutInCell="1" allowOverlap="1" wp14:anchorId="733A85F7" wp14:editId="27324B92">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4E05C" w14:textId="77777777" w:rsidR="003012C5" w:rsidRDefault="003012C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A85F7"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9B4E05C" w14:textId="77777777" w:rsidR="003012C5" w:rsidRDefault="003012C5"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F89D6D0" wp14:editId="7602BAE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21017" w14:textId="77777777" w:rsidR="003012C5" w:rsidRPr="00E91FE7" w:rsidRDefault="00A9192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012C5">
                                <w:rPr>
                                  <w:rStyle w:val="TitleChar"/>
                                  <w:sz w:val="32"/>
                                </w:rPr>
                                <w:t>5.4 Encapsulation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9D6D0"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3621017" w14:textId="77777777" w:rsidR="003012C5" w:rsidRPr="00E91FE7" w:rsidRDefault="00A9192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012C5">
                          <w:rPr>
                            <w:rStyle w:val="TitleChar"/>
                            <w:sz w:val="32"/>
                          </w:rPr>
                          <w:t>5.4 Encapsulation</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1CA46B4" wp14:editId="2807462D">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4C39A" w14:textId="77777777" w:rsidR="003012C5" w:rsidRDefault="003012C5">
    <w:pPr>
      <w:pStyle w:val="Header"/>
    </w:pPr>
    <w:r w:rsidRPr="00E91FE7">
      <w:rPr>
        <w:noProof/>
      </w:rPr>
      <mc:AlternateContent>
        <mc:Choice Requires="wps">
          <w:drawing>
            <wp:anchor distT="0" distB="0" distL="114300" distR="114300" simplePos="0" relativeHeight="251669504" behindDoc="0" locked="0" layoutInCell="1" allowOverlap="1" wp14:anchorId="2C7068D2" wp14:editId="6F7200CD">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B2550" w14:textId="77777777" w:rsidR="003012C5" w:rsidRDefault="00A9192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012C5">
                                <w:t>5.4 Encapsulation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068D2"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39B2550" w14:textId="77777777" w:rsidR="003012C5" w:rsidRDefault="00A9192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012C5">
                          <w:t>5.4 Encapsulation</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395A160" wp14:editId="1E5C9EB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242A1B5" wp14:editId="31428FEB">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47E17F" w14:textId="77777777" w:rsidR="003012C5" w:rsidRDefault="003012C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2A1B5"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F47E17F" w14:textId="77777777" w:rsidR="003012C5" w:rsidRDefault="003012C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F2F0DD6"/>
    <w:multiLevelType w:val="hybridMultilevel"/>
    <w:tmpl w:val="AA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A780B"/>
    <w:rsid w:val="001E1EB4"/>
    <w:rsid w:val="002353B5"/>
    <w:rsid w:val="00283AFE"/>
    <w:rsid w:val="002A3F2C"/>
    <w:rsid w:val="002B1EF5"/>
    <w:rsid w:val="002D2D60"/>
    <w:rsid w:val="002F1406"/>
    <w:rsid w:val="003012C5"/>
    <w:rsid w:val="00342D88"/>
    <w:rsid w:val="00395EC1"/>
    <w:rsid w:val="003D0253"/>
    <w:rsid w:val="003D525B"/>
    <w:rsid w:val="003E5F5D"/>
    <w:rsid w:val="004667BB"/>
    <w:rsid w:val="004B51E3"/>
    <w:rsid w:val="004C5808"/>
    <w:rsid w:val="004E1683"/>
    <w:rsid w:val="004E298A"/>
    <w:rsid w:val="0052575D"/>
    <w:rsid w:val="00541E0A"/>
    <w:rsid w:val="005466E1"/>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0737"/>
    <w:rsid w:val="00991951"/>
    <w:rsid w:val="009945C7"/>
    <w:rsid w:val="0099717E"/>
    <w:rsid w:val="00A03EED"/>
    <w:rsid w:val="00A24E54"/>
    <w:rsid w:val="00A91925"/>
    <w:rsid w:val="00AD4F7E"/>
    <w:rsid w:val="00B32FB4"/>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01B31C6"/>
  <w15:docId w15:val="{A99CEB12-5932-446E-83F8-AD5EBFE4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5466E1"/>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4472406">
      <w:bodyDiv w:val="1"/>
      <w:marLeft w:val="0"/>
      <w:marRight w:val="0"/>
      <w:marTop w:val="0"/>
      <w:marBottom w:val="0"/>
      <w:divBdr>
        <w:top w:val="none" w:sz="0" w:space="0" w:color="auto"/>
        <w:left w:val="none" w:sz="0" w:space="0" w:color="auto"/>
        <w:bottom w:val="none" w:sz="0" w:space="0" w:color="auto"/>
        <w:right w:val="none" w:sz="0" w:space="0" w:color="auto"/>
      </w:divBdr>
    </w:div>
    <w:div w:id="448429240">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90520076">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17954687">
      <w:bodyDiv w:val="1"/>
      <w:marLeft w:val="0"/>
      <w:marRight w:val="0"/>
      <w:marTop w:val="0"/>
      <w:marBottom w:val="0"/>
      <w:divBdr>
        <w:top w:val="none" w:sz="0" w:space="0" w:color="auto"/>
        <w:left w:val="none" w:sz="0" w:space="0" w:color="auto"/>
        <w:bottom w:val="none" w:sz="0" w:space="0" w:color="auto"/>
        <w:right w:val="none" w:sz="0" w:space="0" w:color="auto"/>
      </w:divBdr>
    </w:div>
    <w:div w:id="1334338172">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198481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04227275">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E0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B6DBD-47C8-412D-A034-F9CA50493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025ECFB6-4240-4CA2-B61B-62F4658A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1114</Words>
  <Characters>6356</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5.4 Encapsulation</dc:title>
  <dc:subject/>
  <dc:creator>Benjamin Watsky</dc:creator>
  <cp:keywords/>
  <dc:description/>
  <cp:lastModifiedBy>Steve Hollasch</cp:lastModifiedBy>
  <cp:revision>5</cp:revision>
  <dcterms:created xsi:type="dcterms:W3CDTF">2015-06-22T14:10:00Z</dcterms:created>
  <dcterms:modified xsi:type="dcterms:W3CDTF">2017-03-20T04:09:00Z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