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GanaderíaPro</w:t>
      </w:r>
    </w:p>
    <w:p>
      <w:pPr/>
      <w:r>
        <w:rPr>
          <w:i/>
        </w:rPr>
        <w:t>Informe del Sprint 2 — Correcciones del jurado y aseguramiento de la calidad</w:t>
      </w:r>
    </w:p>
    <w:p>
      <w:pPr/>
      <w:r>
        <w:t>Proyecto de Sistemas II · Sprint 2 (21 de septiembre al 7 de octubre de 2026) · Versión «sprint-2»</w:t>
      </w:r>
    </w:p>
    <w:p>
      <w:pPr>
        <w:pStyle w:val="Heading1"/>
      </w:pPr>
      <w:r>
        <w:t>1. Resumen</w:t>
      </w:r>
    </w:p>
    <w:p>
      <w:pPr/>
      <w:r>
        <w:t>En la defensa del Sprint 1 (30/09/2026) el jurado pidió corregir las validaciones del registro de animales y documentar cuatro temas: dónde se aplican los principios de diseño (SRP, DRY, KISS y YAGNI), el registro de defectos, las pruebas de calidad (SQA) y la revisión de las reglas de negocio. Este informe muestra cómo se resolvió cada punto.</w:t>
      </w:r>
    </w:p>
    <w:p>
      <w:pPr/>
      <w:r>
        <w:t>El Sprint 2 se cerró con las 13 historias comprometidas (48 puntos), más tres historias agregadas durante el sprint (HU-66, HU-67 y HU-74). El sistema tiene 222 pruebas automáticas en el servidor y 101 en la aplicación, que se ejecutan en cada cambio. El código quedó publicado en la rama main con la etiqueta «sprint-2».</w:t>
      </w:r>
    </w:p>
    <w:p>
      <w:pPr>
        <w:pStyle w:val="Heading1"/>
      </w:pPr>
      <w:r>
        <w:t>2. Correcciones aplicadas al sistema</w:t>
      </w:r>
    </w:p>
    <w:p>
      <w:pPr/>
      <w:r>
        <w:t>Cada observación del jurado se corrigió en la aplicación y en el servidor, con las mismas reglas en los dos lados.</w:t>
      </w:r>
    </w:p>
    <w:tbl>
      <w:tblPr>
        <w:tblStyle w:val="TableGrid"/>
        <w:tblW w:type="auto" w:w="0"/>
        <w:tblLayout w:type="fixed"/>
        <w:tblLook w:firstColumn="1" w:firstRow="1" w:lastColumn="0" w:lastRow="0" w:noHBand="0" w:noVBand="1" w:val="04A0"/>
      </w:tblPr>
      <w:tblGrid>
        <w:gridCol w:w="3600"/>
        <w:gridCol w:w="3600"/>
        <w:gridCol w:w="3600"/>
      </w:tblGrid>
      <w:tr>
        <w:trPr>
          <w:tblHeader/>
        </w:trPr>
        <w:tc>
          <w:tcPr>
            <w:tcW w:type="dxa" w:w="2400"/>
            <w:shd w:val="clear" w:color="auto" w:fill="D9D9D9"/>
          </w:tcPr>
          <w:p>
            <w:r>
              <w:rPr>
                <w:b/>
              </w:rPr>
              <w:t>Observación del jurado</w:t>
            </w:r>
          </w:p>
        </w:tc>
        <w:tc>
          <w:tcPr>
            <w:tcW w:type="dxa" w:w="5400"/>
            <w:shd w:val="clear" w:color="auto" w:fill="D9D9D9"/>
          </w:tcPr>
          <w:p>
            <w:r>
              <w:rPr>
                <w:b/>
              </w:rPr>
              <w:t>Corrección aplicada</w:t>
            </w:r>
          </w:p>
        </w:tc>
        <w:tc>
          <w:tcPr>
            <w:tcW w:type="dxa" w:w="1500"/>
            <w:shd w:val="clear" w:color="auto" w:fill="D9D9D9"/>
          </w:tcPr>
          <w:p>
            <w:r>
              <w:rPr>
                <w:b/>
              </w:rPr>
              <w:t>Regla</w:t>
            </w:r>
          </w:p>
        </w:tc>
      </w:tr>
      <w:tr>
        <w:tc>
          <w:tcPr>
            <w:tcW w:type="dxa" w:w="2400"/>
          </w:tcPr>
          <w:p>
            <w:r>
              <w:t>Pesos sin rango</w:t>
            </w:r>
          </w:p>
        </w:tc>
        <w:tc>
          <w:tcPr>
            <w:tcW w:type="dxa" w:w="5400"/>
          </w:tcPr>
          <w:p>
            <w:r>
              <w:t>Peso al nacer entre 10 y 80 kg; peso actual mayor que 0 y de hasta 1500 kg.</w:t>
            </w:r>
          </w:p>
        </w:tc>
        <w:tc>
          <w:tcPr>
            <w:tcW w:type="dxa" w:w="1500"/>
          </w:tcPr>
          <w:p>
            <w:r>
              <w:t>RN-17</w:t>
            </w:r>
          </w:p>
        </w:tc>
      </w:tr>
      <w:tr>
        <w:tc>
          <w:tcPr>
            <w:tcW w:type="dxa" w:w="2400"/>
          </w:tcPr>
          <w:p>
            <w:r>
              <w:t>Fechas sin control</w:t>
            </w:r>
          </w:p>
        </w:tc>
        <w:tc>
          <w:tcPr>
            <w:tcW w:type="dxa" w:w="5400"/>
          </w:tcPr>
          <w:p>
            <w:r>
              <w:t>La fecha de nacimiento no puede ser futura ni de más de 25 años. «Hoy» se calcula con la hora de Bolivia, no con la hora universal (UTC).</w:t>
            </w:r>
          </w:p>
        </w:tc>
        <w:tc>
          <w:tcPr>
            <w:tcW w:type="dxa" w:w="1500"/>
          </w:tcPr>
          <w:p>
            <w:r>
              <w:t>RN-14, RN-17</w:t>
            </w:r>
          </w:p>
        </w:tc>
      </w:tr>
      <w:tr>
        <w:tc>
          <w:tcPr>
            <w:tcW w:type="dxa" w:w="2400"/>
          </w:tcPr>
          <w:p>
            <w:r>
              <w:t>Campos obligatorios incompletos</w:t>
            </w:r>
          </w:p>
        </w:tc>
        <w:tc>
          <w:tcPr>
            <w:tcW w:type="dxa" w:w="5400"/>
          </w:tcPr>
          <w:p>
            <w:r>
              <w:t>Identificación, sexo, raza y fecha de nacimiento son obligatorios.</w:t>
            </w:r>
          </w:p>
        </w:tc>
        <w:tc>
          <w:tcPr>
            <w:tcW w:type="dxa" w:w="1500"/>
          </w:tcPr>
          <w:p>
            <w:r>
              <w:t>RN-17</w:t>
            </w:r>
          </w:p>
        </w:tc>
      </w:tr>
      <w:tr>
        <w:tc>
          <w:tcPr>
            <w:tcW w:type="dxa" w:w="2400"/>
          </w:tcPr>
          <w:p>
            <w:r>
              <w:t>Duplicados por mayúsculas</w:t>
            </w:r>
          </w:p>
        </w:tc>
        <w:tc>
          <w:tcPr>
            <w:tcW w:type="dxa" w:w="5400"/>
          </w:tcPr>
          <w:p>
            <w:r>
              <w:t>La identificación se guarda en mayúsculas y no se repite aunque se escriba distinto, tampoco dentro de una carga múltiple.</w:t>
            </w:r>
          </w:p>
        </w:tc>
        <w:tc>
          <w:tcPr>
            <w:tcW w:type="dxa" w:w="1500"/>
          </w:tcPr>
          <w:p>
            <w:r>
              <w:t>RN-01</w:t>
            </w:r>
          </w:p>
        </w:tc>
      </w:tr>
      <w:tr>
        <w:tc>
          <w:tcPr>
            <w:tcW w:type="dxa" w:w="2400"/>
          </w:tcPr>
          <w:p>
            <w:r>
              <w:t>Validar solo en la interfaz</w:t>
            </w:r>
          </w:p>
        </w:tc>
        <w:tc>
          <w:tcPr>
            <w:tcW w:type="dxa" w:w="5400"/>
          </w:tcPr>
          <w:p>
            <w:r>
              <w:t>Las mismas reglas se validan en la app (antes de enviar) y en el servidor (siempre).</w:t>
            </w:r>
          </w:p>
        </w:tc>
        <w:tc>
          <w:tcPr>
            <w:tcW w:type="dxa" w:w="1500"/>
          </w:tcPr>
          <w:p>
            <w:r>
              <w:t>RN-17</w:t>
            </w:r>
          </w:p>
        </w:tc>
      </w:tr>
      <w:tr>
        <w:tc>
          <w:tcPr>
            <w:tcW w:type="dxa" w:w="2400"/>
          </w:tcPr>
          <w:p>
            <w:r>
              <w:t>Faltaban casos de prueba</w:t>
            </w:r>
          </w:p>
        </w:tc>
        <w:tc>
          <w:tcPr>
            <w:tcW w:type="dxa" w:w="5400"/>
          </w:tcPr>
          <w:p>
            <w:r>
              <w:t>Pruebas automáticas para cada regla, en el servidor y en la app (sección 5).</w:t>
            </w:r>
          </w:p>
        </w:tc>
        <w:tc>
          <w:tcPr>
            <w:tcW w:type="dxa" w:w="1500"/>
          </w:tcPr>
          <w:p>
            <w:r>
              <w:t>—</w:t>
            </w:r>
          </w:p>
        </w:tc>
      </w:tr>
      <w:tr>
        <w:tc>
          <w:tcPr>
            <w:tcW w:type="dxa" w:w="2400"/>
          </w:tcPr>
          <w:p>
            <w:r>
              <w:t>Reglas de negocio incompletas</w:t>
            </w:r>
          </w:p>
        </w:tc>
        <w:tc>
          <w:tcPr>
            <w:tcW w:type="dxa" w:w="5400"/>
          </w:tcPr>
          <w:p>
            <w:r>
              <w:t>Se agregaron RN-17 (rangos de validación) y RN-18 (categoría del animal) al backlog.</w:t>
            </w:r>
          </w:p>
        </w:tc>
        <w:tc>
          <w:tcPr>
            <w:tcW w:type="dxa" w:w="1500"/>
          </w:tcPr>
          <w:p>
            <w:r>
              <w:t>RN-17, RN-18</w:t>
            </w:r>
          </w:p>
        </w:tc>
      </w:tr>
    </w:tbl>
    <w:p/>
    <w:p>
      <w:pPr>
        <w:pStyle w:val="Heading1"/>
      </w:pPr>
      <w:r>
        <w:t>3. Principios de diseño aplicados</w:t>
      </w:r>
    </w:p>
    <w:p>
      <w:pPr/>
      <w:r>
        <w:t>El servidor está organizado en cuatro capas (Domain, Application, Infrastructure y Api) y la app separa el núcleo (core) de las pantallas (features). Sobre esa base, estos son los lugares donde se aplica cada principio:</w:t>
      </w:r>
    </w:p>
    <w:tbl>
      <w:tblPr>
        <w:tblStyle w:val="TableGrid"/>
        <w:tblW w:type="auto" w:w="0"/>
        <w:tblLayout w:type="fixed"/>
        <w:tblLook w:firstColumn="1" w:firstRow="1" w:lastColumn="0" w:lastRow="0" w:noHBand="0" w:noVBand="1" w:val="04A0"/>
      </w:tblPr>
      <w:tblGrid>
        <w:gridCol w:w="3600"/>
        <w:gridCol w:w="3600"/>
        <w:gridCol w:w="3600"/>
      </w:tblGrid>
      <w:tr>
        <w:trPr>
          <w:tblHeader/>
        </w:trPr>
        <w:tc>
          <w:tcPr>
            <w:tcW w:type="dxa" w:w="2000"/>
            <w:shd w:val="clear" w:color="auto" w:fill="D9D9D9"/>
          </w:tcPr>
          <w:p>
            <w:r>
              <w:rPr>
                <w:b/>
              </w:rPr>
              <w:t>Principio</w:t>
            </w:r>
          </w:p>
        </w:tc>
        <w:tc>
          <w:tcPr>
            <w:tcW w:type="dxa" w:w="2200"/>
            <w:shd w:val="clear" w:color="auto" w:fill="D9D9D9"/>
          </w:tcPr>
          <w:p>
            <w:r>
              <w:rPr>
                <w:b/>
              </w:rPr>
              <w:t>Dónde se aplica</w:t>
            </w:r>
          </w:p>
        </w:tc>
        <w:tc>
          <w:tcPr>
            <w:tcW w:type="dxa" w:w="5100"/>
            <w:shd w:val="clear" w:color="auto" w:fill="D9D9D9"/>
          </w:tcPr>
          <w:p>
            <w:r>
              <w:rPr>
                <w:b/>
              </w:rPr>
              <w:t>Ejemplo concreto</w:t>
            </w:r>
          </w:p>
        </w:tc>
      </w:tr>
      <w:tr>
        <w:tc>
          <w:tcPr>
            <w:tcW w:type="dxa" w:w="2000"/>
          </w:tcPr>
          <w:p>
            <w:r>
              <w:t>SRP — responsabilidad única</w:t>
            </w:r>
          </w:p>
        </w:tc>
        <w:tc>
          <w:tcPr>
            <w:tcW w:type="dxa" w:w="2200"/>
          </w:tcPr>
          <w:p>
            <w:r>
              <w:t>Servicios, repositorios y controladores</w:t>
            </w:r>
          </w:p>
        </w:tc>
        <w:tc>
          <w:tcPr>
            <w:tcW w:type="dxa" w:w="5100"/>
          </w:tcPr>
          <w:p>
            <w:r>
              <w:t>AnimalesController solo recibe pedidos; AnimalService aplica las reglas; AnimalRepository solo lee y guarda. ControlLimitesPlan es el único lugar que verifica los límites del plan (RN-11).</w:t>
            </w:r>
          </w:p>
        </w:tc>
      </w:tr>
      <w:tr>
        <w:tc>
          <w:tcPr>
            <w:tcW w:type="dxa" w:w="2000"/>
          </w:tcPr>
          <w:p>
            <w:r>
              <w:t>OCP — abierto a extensión</w:t>
            </w:r>
          </w:p>
        </w:tc>
        <w:tc>
          <w:tcPr>
            <w:tcW w:type="dxa" w:w="2200"/>
          </w:tcPr>
          <w:p>
            <w:r>
              <w:t>Límites del plan (patrón Strategy)</w:t>
            </w:r>
          </w:p>
        </w:tc>
        <w:tc>
          <w:tcPr>
            <w:tcW w:type="dxa" w:w="5100"/>
          </w:tcPr>
          <w:p>
            <w:r>
              <w:t>Cada plan es una clase (PlanBasico, PlanIntermedio, PlanSuperior) que implementa ILimitesPlan. Agregar un plan es agregar una clase, sin modificar el control de límites.</w:t>
            </w:r>
          </w:p>
        </w:tc>
      </w:tr>
      <w:tr>
        <w:tc>
          <w:tcPr>
            <w:tcW w:type="dxa" w:w="2000"/>
          </w:tcPr>
          <w:p>
            <w:r>
              <w:t>LSP — sustitución</w:t>
            </w:r>
          </w:p>
        </w:tc>
        <w:tc>
          <w:tcPr>
            <w:tcW w:type="dxa" w:w="2200"/>
          </w:tcPr>
          <w:p>
            <w:r>
              <w:t>Almacenamiento del modo sin conexión</w:t>
            </w:r>
          </w:p>
        </w:tc>
        <w:tc>
          <w:tcPr>
            <w:tcW w:type="dxa" w:w="5100"/>
          </w:tcPr>
          <w:p>
            <w:r>
              <w:t>AlmacenPendientesSqlite (la app) y AlmacenPendientesMemoria (las pruebas) se usan indistintamente; lo mismo con BovedaSegura y BovedaMemoria para la sesión.</w:t>
            </w:r>
          </w:p>
        </w:tc>
      </w:tr>
      <w:tr>
        <w:tc>
          <w:tcPr>
            <w:tcW w:type="dxa" w:w="2000"/>
          </w:tcPr>
          <w:p>
            <w:r>
              <w:t>ISP — interfaces pequeñas</w:t>
            </w:r>
          </w:p>
        </w:tc>
        <w:tc>
          <w:tcPr>
            <w:tcW w:type="dxa" w:w="2200"/>
          </w:tcPr>
          <w:p>
            <w:r>
              <w:t>Repositorios e infraestructura</w:t>
            </w:r>
          </w:p>
        </w:tc>
        <w:tc>
          <w:tcPr>
            <w:tcW w:type="dxa" w:w="5100"/>
          </w:tcPr>
          <w:p>
            <w:r>
              <w:t>Una interfaz por entidad (IAnimalRepository, IPesajeRepository, ICorralRepository…) e interfaces mínimas como ICurrentUserContext (solo el rancho y el usuario actuales).</w:t>
            </w:r>
          </w:p>
        </w:tc>
      </w:tr>
      <w:tr>
        <w:tc>
          <w:tcPr>
            <w:tcW w:type="dxa" w:w="2000"/>
          </w:tcPr>
          <w:p>
            <w:r>
              <w:t>DIP — depender de abstracciones</w:t>
            </w:r>
          </w:p>
        </w:tc>
        <w:tc>
          <w:tcPr>
            <w:tcW w:type="dxa" w:w="2200"/>
          </w:tcPr>
          <w:p>
            <w:r>
              <w:t>Toda la capa Application</w:t>
            </w:r>
          </w:p>
        </w:tc>
        <w:tc>
          <w:tcPr>
            <w:tcW w:type="dxa" w:w="5100"/>
          </w:tcPr>
          <w:p>
            <w:r>
              <w:t>Los servicios dependen de interfaces; las implementaciones con EF Core y PostgreSQL están en Infrastructure y se inyectan al arrancar. Por eso las pruebas usan objetos simulados (Moq) sin base de datos.</w:t>
            </w:r>
          </w:p>
        </w:tc>
      </w:tr>
      <w:tr>
        <w:tc>
          <w:tcPr>
            <w:tcW w:type="dxa" w:w="2000"/>
          </w:tcPr>
          <w:p>
            <w:r>
              <w:t>DRY — no repetir</w:t>
            </w:r>
          </w:p>
        </w:tc>
        <w:tc>
          <w:tcPr>
            <w:tcW w:type="dxa" w:w="2200"/>
          </w:tcPr>
          <w:p>
            <w:r>
              <w:t>Validaciones, fechas y permisos</w:t>
            </w:r>
          </w:p>
        </w:tc>
        <w:tc>
          <w:tcPr>
            <w:tcW w:type="dxa" w:w="5100"/>
          </w:tcPr>
          <w:p>
            <w:r>
              <w:t>Una sola validación del animal para el alta, la carga múltiple y la edición. Un solo «hoy» (FechaRancho.Hoy). La matriz de permisos vive en el servidor y se envía a la app al iniciar sesión, en vez de copiarla. El control de límites se reutiliza en cinco puntos de alta.</w:t>
            </w:r>
          </w:p>
        </w:tc>
      </w:tr>
      <w:tr>
        <w:tc>
          <w:tcPr>
            <w:tcW w:type="dxa" w:w="2000"/>
          </w:tcPr>
          <w:p>
            <w:r>
              <w:t>KISS — simple</w:t>
            </w:r>
          </w:p>
        </w:tc>
        <w:tc>
          <w:tcPr>
            <w:tcW w:type="dxa" w:w="2200"/>
          </w:tcPr>
          <w:p>
            <w:r>
              <w:t>Detección de conexión y categoría</w:t>
            </w:r>
          </w:p>
        </w:tc>
        <w:tc>
          <w:tcPr>
            <w:tcW w:type="dxa" w:w="5100"/>
          </w:tcPr>
          <w:p>
            <w:r>
              <w:t>Para saber si hay conexión, la app le pregunta al servidor (GET /api/salud) en lugar de usar una librería de redes. La categoría del animal se calcula al consultarla, en vez de guardarla y tener que actualizarla.</w:t>
            </w:r>
          </w:p>
        </w:tc>
      </w:tr>
      <w:tr>
        <w:tc>
          <w:tcPr>
            <w:tcW w:type="dxa" w:w="2000"/>
          </w:tcPr>
          <w:p>
            <w:r>
              <w:t>YAGNI — no anticipar</w:t>
            </w:r>
          </w:p>
        </w:tc>
        <w:tc>
          <w:tcPr>
            <w:tcW w:type="dxa" w:w="2200"/>
          </w:tcPr>
          <w:p>
            <w:r>
              <w:t>Modo sin conexión y planes</w:t>
            </w:r>
          </w:p>
        </w:tc>
        <w:tc>
          <w:tcPr>
            <w:tcW w:type="dxa" w:w="5100"/>
          </w:tcPr>
          <w:p>
            <w:r>
              <w:t>No se instaló connectivity_plus (no hacía falta). Sin conexión se muestran solo los registros pendientes, no una copia de todo el ganado, porque los criterios no lo piden. El plan Superior no inventa límites que el Product Owner no definió.</w:t>
            </w:r>
          </w:p>
        </w:tc>
      </w:tr>
    </w:tbl>
    <w:p/>
    <w:p>
      <w:pPr>
        <w:pStyle w:val="Heading2"/>
      </w:pPr>
      <w:r>
        <w:t>Patrones de diseño usados</w:t>
      </w:r>
    </w:p>
    <w:p>
      <w:pPr>
        <w:pStyle w:val="ListBullet"/>
      </w:pPr>
      <w:r>
        <w:rPr>
          <w:b/>
        </w:rPr>
        <w:t>Strategy:</w:t>
      </w:r>
      <w:r>
        <w:t xml:space="preserve"> límites por plan (HU-58).</w:t>
      </w:r>
    </w:p>
    <w:p>
      <w:pPr>
        <w:pStyle w:val="ListBullet"/>
      </w:pPr>
      <w:r>
        <w:rPr>
          <w:b/>
        </w:rPr>
        <w:t>Repository y Unit of Work:</w:t>
      </w:r>
      <w:r>
        <w:t xml:space="preserve"> acceso a datos y guardado en una sola operación (alta de cuenta y rancho juntos).</w:t>
      </w:r>
    </w:p>
    <w:p>
      <w:pPr>
        <w:pStyle w:val="ListBullet"/>
      </w:pPr>
      <w:r>
        <w:rPr>
          <w:b/>
        </w:rPr>
        <w:t>Filtro de autorización:</w:t>
      </w:r>
      <w:r>
        <w:t xml:space="preserve"> un filtro global revisa los permisos de cada pedido según el módulo y el rol (HU-34); una prueba verifica que ningún endpoint quede sin módulo.</w:t>
      </w:r>
    </w:p>
    <w:p>
      <w:pPr>
        <w:pStyle w:val="ListBullet"/>
      </w:pPr>
      <w:r>
        <w:rPr>
          <w:b/>
        </w:rPr>
        <w:t>Outbox:</w:t>
      </w:r>
      <w:r>
        <w:t xml:space="preserve"> cola de salida en el dispositivo; cada registro lleva un identificador propio y el servidor no lo duplica al reintentar (idempotencia, HU-47).</w:t>
      </w:r>
    </w:p>
    <w:p>
      <w:pPr>
        <w:pStyle w:val="Heading1"/>
      </w:pPr>
      <w:r>
        <w:t>4. Registro de defectos</w:t>
      </w:r>
    </w:p>
    <w:p>
      <w:pPr/>
      <w:r>
        <w:t>Defectos encontrados y corregidos durante el Sprint 2. Ninguno llegó a la versión entregada.</w:t>
      </w:r>
    </w:p>
    <w:tbl>
      <w:tblPr>
        <w:tblStyle w:val="TableGrid"/>
        <w:tblW w:type="auto" w:w="0"/>
        <w:tblLayout w:type="fixed"/>
        <w:tblLook w:firstColumn="1" w:firstRow="1" w:lastColumn="0" w:lastRow="0" w:noHBand="0" w:noVBand="1" w:val="04A0"/>
      </w:tblPr>
      <w:tblGrid>
        <w:gridCol w:w="2160"/>
        <w:gridCol w:w="2160"/>
        <w:gridCol w:w="2160"/>
        <w:gridCol w:w="2160"/>
        <w:gridCol w:w="2160"/>
      </w:tblGrid>
      <w:tr>
        <w:trPr>
          <w:tblHeader/>
        </w:trPr>
        <w:tc>
          <w:tcPr>
            <w:tcW w:type="dxa" w:w="400"/>
            <w:shd w:val="clear" w:color="auto" w:fill="D9D9D9"/>
          </w:tcPr>
          <w:p>
            <w:r>
              <w:rPr>
                <w:b/>
              </w:rPr>
              <w:t>#</w:t>
            </w:r>
          </w:p>
        </w:tc>
        <w:tc>
          <w:tcPr>
            <w:tcW w:type="dxa" w:w="2300"/>
            <w:shd w:val="clear" w:color="auto" w:fill="D9D9D9"/>
          </w:tcPr>
          <w:p>
            <w:r>
              <w:rPr>
                <w:b/>
              </w:rPr>
              <w:t>Defecto</w:t>
            </w:r>
          </w:p>
        </w:tc>
        <w:tc>
          <w:tcPr>
            <w:tcW w:type="dxa" w:w="2400"/>
            <w:shd w:val="clear" w:color="auto" w:fill="D9D9D9"/>
          </w:tcPr>
          <w:p>
            <w:r>
              <w:rPr>
                <w:b/>
              </w:rPr>
              <w:t>Causa</w:t>
            </w:r>
          </w:p>
        </w:tc>
        <w:tc>
          <w:tcPr>
            <w:tcW w:type="dxa" w:w="2500"/>
            <w:shd w:val="clear" w:color="auto" w:fill="D9D9D9"/>
          </w:tcPr>
          <w:p>
            <w:r>
              <w:rPr>
                <w:b/>
              </w:rPr>
              <w:t>Corrección</w:t>
            </w:r>
          </w:p>
        </w:tc>
        <w:tc>
          <w:tcPr>
            <w:tcW w:type="dxa" w:w="1700"/>
            <w:shd w:val="clear" w:color="auto" w:fill="D9D9D9"/>
          </w:tcPr>
          <w:p>
            <w:r>
              <w:rPr>
                <w:b/>
              </w:rPr>
              <w:t>Cómo se detectó</w:t>
            </w:r>
          </w:p>
        </w:tc>
      </w:tr>
      <w:tr>
        <w:tc>
          <w:tcPr>
            <w:tcW w:type="dxa" w:w="400"/>
          </w:tcPr>
          <w:p>
            <w:r>
              <w:t>1</w:t>
            </w:r>
          </w:p>
        </w:tc>
        <w:tc>
          <w:tcPr>
            <w:tcW w:type="dxa" w:w="2300"/>
          </w:tcPr>
          <w:p>
            <w:r>
              <w:t>Entre las 20:00 y las 24:00 se aceptaba una fecha futura.</w:t>
            </w:r>
          </w:p>
        </w:tc>
        <w:tc>
          <w:tcPr>
            <w:tcW w:type="dxa" w:w="2400"/>
          </w:tcPr>
          <w:p>
            <w:r>
              <w:t>Se comparaba con la fecha UTC, que en Bolivia ya es «mañana» desde las 20:00.</w:t>
            </w:r>
          </w:p>
        </w:tc>
        <w:tc>
          <w:tcPr>
            <w:tcW w:type="dxa" w:w="2500"/>
          </w:tcPr>
          <w:p>
            <w:r>
              <w:t>Fecha del rancho con la zona horaria America/La_Paz (FechaRancho.Hoy).</w:t>
            </w:r>
          </w:p>
        </w:tc>
        <w:tc>
          <w:tcPr>
            <w:tcW w:type="dxa" w:w="1700"/>
          </w:tcPr>
          <w:p>
            <w:r>
              <w:t>Prueba manual</w:t>
            </w:r>
          </w:p>
        </w:tc>
      </w:tr>
      <w:tr>
        <w:tc>
          <w:tcPr>
            <w:tcW w:type="dxa" w:w="400"/>
          </w:tcPr>
          <w:p>
            <w:r>
              <w:t>2</w:t>
            </w:r>
          </w:p>
        </w:tc>
        <w:tc>
          <w:tcPr>
            <w:tcW w:type="dxa" w:w="2300"/>
          </w:tcPr>
          <w:p>
            <w:r>
              <w:t>La fecha de hoy se rechazaba como futura en pesaje y fallecimiento.</w:t>
            </w:r>
          </w:p>
        </w:tc>
        <w:tc>
          <w:tcPr>
            <w:tcW w:type="dxa" w:w="2400"/>
          </w:tcPr>
          <w:p>
            <w:r>
              <w:t>La fecha sugerida incluía la hora actual.</w:t>
            </w:r>
          </w:p>
        </w:tc>
        <w:tc>
          <w:tcPr>
            <w:tcW w:type="dxa" w:w="2500"/>
          </w:tcPr>
          <w:p>
            <w:r>
              <w:t>Se sugiere solo el día, sin hora.</w:t>
            </w:r>
          </w:p>
        </w:tc>
        <w:tc>
          <w:tcPr>
            <w:tcW w:type="dxa" w:w="1700"/>
          </w:tcPr>
          <w:p>
            <w:r>
              <w:t>Prueba manual (HU-54, HU-55)</w:t>
            </w:r>
          </w:p>
        </w:tc>
      </w:tr>
      <w:tr>
        <w:tc>
          <w:tcPr>
            <w:tcW w:type="dxa" w:w="400"/>
          </w:tcPr>
          <w:p>
            <w:r>
              <w:t>3</w:t>
            </w:r>
          </w:p>
        </w:tc>
        <w:tc>
          <w:tcPr>
            <w:tcW w:type="dxa" w:w="2300"/>
          </w:tcPr>
          <w:p>
            <w:r>
              <w:t>La ficha del animal no se actualizaba después de guardar.</w:t>
            </w:r>
          </w:p>
        </w:tc>
        <w:tc>
          <w:tcPr>
            <w:tcW w:type="dxa" w:w="2400"/>
          </w:tcPr>
          <w:p>
            <w:r>
              <w:t>La recarga devolvía una tarea pendiente y Flutter la ignoraba.</w:t>
            </w:r>
          </w:p>
        </w:tc>
        <w:tc>
          <w:tcPr>
            <w:tcW w:type="dxa" w:w="2500"/>
          </w:tcPr>
          <w:p>
            <w:r>
              <w:t>Se corrigió la forma de recargar la pantalla.</w:t>
            </w:r>
          </w:p>
        </w:tc>
        <w:tc>
          <w:tcPr>
            <w:tcW w:type="dxa" w:w="1700"/>
          </w:tcPr>
          <w:p>
            <w:r>
              <w:t>Prueba manual (HU-55)</w:t>
            </w:r>
          </w:p>
        </w:tc>
      </w:tr>
      <w:tr>
        <w:tc>
          <w:tcPr>
            <w:tcW w:type="dxa" w:w="400"/>
          </w:tcPr>
          <w:p>
            <w:r>
              <w:t>4</w:t>
            </w:r>
          </w:p>
        </w:tc>
        <w:tc>
          <w:tcPr>
            <w:tcW w:type="dxa" w:w="2300"/>
          </w:tcPr>
          <w:p>
            <w:r>
              <w:t>Cerrar sesión sin token daba un error del servidor (500).</w:t>
            </w:r>
          </w:p>
        </w:tc>
        <w:tc>
          <w:tcPr>
            <w:tcW w:type="dxa" w:w="2400"/>
          </w:tcPr>
          <w:p>
            <w:r>
              <w:t>El permiso de acceso público estaba en todo el controlador y anulaba la protección.</w:t>
            </w:r>
          </w:p>
        </w:tc>
        <w:tc>
          <w:tcPr>
            <w:tcW w:type="dxa" w:w="2500"/>
          </w:tcPr>
          <w:p>
            <w:r>
              <w:t>El acceso público se aplica solo a las acciones que lo necesitan.</w:t>
            </w:r>
          </w:p>
        </w:tc>
        <w:tc>
          <w:tcPr>
            <w:tcW w:type="dxa" w:w="1700"/>
          </w:tcPr>
          <w:p>
            <w:r>
              <w:t>Prueba de la API (HU-52)</w:t>
            </w:r>
          </w:p>
        </w:tc>
      </w:tr>
      <w:tr>
        <w:tc>
          <w:tcPr>
            <w:tcW w:type="dxa" w:w="400"/>
          </w:tcPr>
          <w:p>
            <w:r>
              <w:t>5</w:t>
            </w:r>
          </w:p>
        </w:tc>
        <w:tc>
          <w:tcPr>
            <w:tcW w:type="dxa" w:w="2300"/>
          </w:tcPr>
          <w:p>
            <w:r>
              <w:t>Las pruebas automáticas fallaban después de las 20:00.</w:t>
            </w:r>
          </w:p>
        </w:tc>
        <w:tc>
          <w:tcPr>
            <w:tcW w:type="dxa" w:w="2400"/>
          </w:tcPr>
          <w:p>
            <w:r>
              <w:t>Usaban la fecha UTC.</w:t>
            </w:r>
          </w:p>
        </w:tc>
        <w:tc>
          <w:tcPr>
            <w:tcW w:type="dxa" w:w="2500"/>
          </w:tcPr>
          <w:p>
            <w:r>
              <w:t>Usan la misma fecha del rancho que el sistema.</w:t>
            </w:r>
          </w:p>
        </w:tc>
        <w:tc>
          <w:tcPr>
            <w:tcW w:type="dxa" w:w="1700"/>
          </w:tcPr>
          <w:p>
            <w:r>
              <w:t>CI (GitHub Actions)</w:t>
            </w:r>
          </w:p>
        </w:tc>
      </w:tr>
      <w:tr>
        <w:tc>
          <w:tcPr>
            <w:tcW w:type="dxa" w:w="400"/>
          </w:tcPr>
          <w:p>
            <w:r>
              <w:t>6</w:t>
            </w:r>
          </w:p>
        </w:tc>
        <w:tc>
          <w:tcPr>
            <w:tcW w:type="dxa" w:w="2300"/>
          </w:tcPr>
          <w:p>
            <w:r>
              <w:t>Desactivar un corral lo vaciaba.</w:t>
            </w:r>
          </w:p>
        </w:tc>
        <w:tc>
          <w:tcPr>
            <w:tcW w:type="dxa" w:w="2400"/>
          </w:tcPr>
          <w:p>
            <w:r>
              <w:t>RN-08 se había implementado al revés.</w:t>
            </w:r>
          </w:p>
        </w:tc>
        <w:tc>
          <w:tcPr>
            <w:tcW w:type="dxa" w:w="2500"/>
          </w:tcPr>
          <w:p>
            <w:r>
              <w:t>Solo se puede desactivar un corral vacío; se agregó «Cambiar corral» en la ficha.</w:t>
            </w:r>
          </w:p>
        </w:tc>
        <w:tc>
          <w:tcPr>
            <w:tcW w:type="dxa" w:w="1700"/>
          </w:tcPr>
          <w:p>
            <w:r>
              <w:t>Revisión contra el backlog</w:t>
            </w:r>
          </w:p>
        </w:tc>
      </w:tr>
      <w:tr>
        <w:tc>
          <w:tcPr>
            <w:tcW w:type="dxa" w:w="400"/>
          </w:tcPr>
          <w:p>
            <w:r>
              <w:t>7</w:t>
            </w:r>
          </w:p>
        </w:tc>
        <w:tc>
          <w:tcPr>
            <w:tcW w:type="dxa" w:w="2300"/>
          </w:tcPr>
          <w:p>
            <w:r>
              <w:t>Dos cuentas con el mismo correo escrito con distintas mayúsculas.</w:t>
            </w:r>
          </w:p>
        </w:tc>
        <w:tc>
          <w:tcPr>
            <w:tcW w:type="dxa" w:w="2400"/>
          </w:tcPr>
          <w:p>
            <w:r>
              <w:t>La comparación del correo distinguía mayúsculas (RN-02).</w:t>
            </w:r>
          </w:p>
        </w:tc>
        <w:tc>
          <w:tcPr>
            <w:tcW w:type="dxa" w:w="2500"/>
          </w:tcPr>
          <w:p>
            <w:r>
              <w:t>Correos en minúsculas e índice único en la base de datos.</w:t>
            </w:r>
          </w:p>
        </w:tc>
        <w:tc>
          <w:tcPr>
            <w:tcW w:type="dxa" w:w="1700"/>
          </w:tcPr>
          <w:p>
            <w:r>
              <w:t>Revisión de datos</w:t>
            </w:r>
          </w:p>
        </w:tc>
      </w:tr>
      <w:tr>
        <w:tc>
          <w:tcPr>
            <w:tcW w:type="dxa" w:w="400"/>
          </w:tcPr>
          <w:p>
            <w:r>
              <w:t>8</w:t>
            </w:r>
          </w:p>
        </w:tc>
        <w:tc>
          <w:tcPr>
            <w:tcW w:type="dxa" w:w="2300"/>
          </w:tcPr>
          <w:p>
            <w:r>
              <w:t>La migración de colaboradores habría dejado a todos sin poder entrar.</w:t>
            </w:r>
          </w:p>
        </w:tc>
        <w:tc>
          <w:tcPr>
            <w:tcW w:type="dxa" w:w="2400"/>
          </w:tcPr>
          <w:p>
            <w:r>
              <w:t>La migración generada creaba el estado del usuario vacío.</w:t>
            </w:r>
          </w:p>
        </w:tc>
        <w:tc>
          <w:tcPr>
            <w:tcW w:type="dxa" w:w="2500"/>
          </w:tcPr>
          <w:p>
            <w:r>
              <w:t>Se ajustó para dejar «Activo» a los usuarios existentes; se probó de ida y vuelta.</w:t>
            </w:r>
          </w:p>
        </w:tc>
        <w:tc>
          <w:tcPr>
            <w:tcW w:type="dxa" w:w="1700"/>
          </w:tcPr>
          <w:p>
            <w:r>
              <w:t>Revisión antes de aplicarla (HU-32)</w:t>
            </w:r>
          </w:p>
        </w:tc>
      </w:tr>
      <w:tr>
        <w:tc>
          <w:tcPr>
            <w:tcW w:type="dxa" w:w="400"/>
          </w:tcPr>
          <w:p>
            <w:r>
              <w:t>9</w:t>
            </w:r>
          </w:p>
        </w:tc>
        <w:tc>
          <w:tcPr>
            <w:tcW w:type="dxa" w:w="2300"/>
          </w:tcPr>
          <w:p>
            <w:r>
              <w:t>Si la app abría sin conexión, no enviaba lo pendiente apenas volvía la señal.</w:t>
            </w:r>
          </w:p>
        </w:tc>
        <w:tc>
          <w:tcPr>
            <w:tcW w:type="dxa" w:w="2400"/>
          </w:tcPr>
          <w:p>
            <w:r>
              <w:t>El sincronizador asumía que al arrancar había conexión.</w:t>
            </w:r>
          </w:p>
        </w:tc>
        <w:tc>
          <w:tcPr>
            <w:tcW w:type="dxa" w:w="2500"/>
          </w:tcPr>
          <w:p>
            <w:r>
              <w:t>Toma el estado real de la conexión al iniciar.</w:t>
            </w:r>
          </w:p>
        </w:tc>
        <w:tc>
          <w:tcPr>
            <w:tcW w:type="dxa" w:w="1700"/>
          </w:tcPr>
          <w:p>
            <w:r>
              <w:t>Prueba automática (HU-47)</w:t>
            </w:r>
          </w:p>
        </w:tc>
      </w:tr>
    </w:tbl>
    <w:p/>
    <w:p>
      <w:pPr>
        <w:pStyle w:val="Heading1"/>
      </w:pPr>
      <w:r>
        <w:t>5. Aseguramiento de la calidad (SQA)</w:t>
      </w:r>
    </w:p>
    <w:p>
      <w:pPr>
        <w:pStyle w:val="Heading2"/>
      </w:pPr>
      <w:r>
        <w:t>Estrategia</w:t>
      </w:r>
    </w:p>
    <w:p>
      <w:pPr>
        <w:pStyle w:val="ListBullet"/>
      </w:pPr>
      <w:r>
        <w:rPr>
          <w:b/>
        </w:rPr>
        <w:t>Pruebas unitarias:</w:t>
      </w:r>
      <w:r>
        <w:t xml:space="preserve"> cada regla de negocio del servidor tiene pruebas con xUnit y Moq, sin base de datos real.</w:t>
      </w:r>
    </w:p>
    <w:p>
      <w:pPr>
        <w:pStyle w:val="ListBullet"/>
      </w:pPr>
      <w:r>
        <w:rPr>
          <w:b/>
        </w:rPr>
        <w:t>Pruebas de widgets:</w:t>
      </w:r>
      <w:r>
        <w:t xml:space="preserve"> las pantallas de la app se prueban con flutter_test, simulando las respuestas del servidor.</w:t>
      </w:r>
    </w:p>
    <w:p>
      <w:pPr>
        <w:pStyle w:val="ListBullet"/>
      </w:pPr>
      <w:r>
        <w:rPr>
          <w:b/>
        </w:rPr>
        <w:t>Integración continua:</w:t>
      </w:r>
      <w:r>
        <w:t xml:space="preserve"> GitHub Actions compila, analiza y ejecuta todas las pruebas en cada Pull Request; main y develop están protegidas y no aceptan cambios con pruebas en rojo.</w:t>
      </w:r>
    </w:p>
    <w:p>
      <w:pPr>
        <w:pStyle w:val="ListBullet"/>
      </w:pPr>
      <w:r>
        <w:rPr>
          <w:b/>
        </w:rPr>
        <w:t>Pruebas manuales guiadas:</w:t>
      </w:r>
      <w:r>
        <w:t xml:space="preserve"> cada historia tiene una lista de pasos de prueba por criterio de aceptación, que se ejecuta en el navegador antes de unir el cambio.</w:t>
      </w:r>
    </w:p>
    <w:p>
      <w:pPr>
        <w:pStyle w:val="ListBullet"/>
      </w:pPr>
      <w:r>
        <w:rPr>
          <w:b/>
        </w:rPr>
        <w:t>Red de seguridad:</w:t>
      </w:r>
      <w:r>
        <w:t xml:space="preserve"> una prueba revisa que todo endpoint de la API declare su módulo de permisos y que los públicos sean solo los esperados.</w:t>
      </w:r>
    </w:p>
    <w:p>
      <w:pPr>
        <w:pStyle w:val="ListBullet"/>
      </w:pPr>
      <w:r>
        <w:rPr>
          <w:b/>
        </w:rPr>
        <w:t>Respaldos:</w:t>
      </w:r>
      <w:r>
        <w:t xml:space="preserve"> antes de cada migración se respalda la base de datos; al cerrar cada sprint se respalda el código y la base fuera de la laptop.</w:t>
      </w:r>
    </w:p>
    <w:p>
      <w:pPr>
        <w:pStyle w:val="Heading2"/>
      </w:pPr>
      <w:r>
        <w:t>Pruebas del servidor · 222 (xUnit)</w:t>
      </w:r>
    </w:p>
    <w:tbl>
      <w:tblPr>
        <w:tblStyle w:val="TableGrid"/>
        <w:tblW w:type="auto" w:w="0"/>
        <w:tblLayout w:type="fixed"/>
        <w:tblLook w:firstColumn="1" w:firstRow="1" w:lastColumn="0" w:lastRow="0" w:noHBand="0" w:noVBand="1" w:val="04A0"/>
      </w:tblPr>
      <w:tblGrid>
        <w:gridCol w:w="3600"/>
        <w:gridCol w:w="3600"/>
        <w:gridCol w:w="3600"/>
      </w:tblGrid>
      <w:tr>
        <w:trPr>
          <w:tblHeader/>
        </w:trPr>
        <w:tc>
          <w:tcPr>
            <w:tcW w:type="dxa" w:w="2300"/>
            <w:shd w:val="clear" w:color="auto" w:fill="D9D9D9"/>
          </w:tcPr>
          <w:p>
            <w:r>
              <w:rPr>
                <w:b/>
              </w:rPr>
              <w:t>Módulo</w:t>
            </w:r>
          </w:p>
        </w:tc>
        <w:tc>
          <w:tcPr>
            <w:tcW w:type="dxa" w:w="5500"/>
            <w:shd w:val="clear" w:color="auto" w:fill="D9D9D9"/>
          </w:tcPr>
          <w:p>
            <w:r>
              <w:rPr>
                <w:b/>
              </w:rPr>
              <w:t>Grupos de prueba</w:t>
            </w:r>
          </w:p>
        </w:tc>
        <w:tc>
          <w:tcPr>
            <w:tcW w:type="dxa" w:w="1500"/>
            <w:shd w:val="clear" w:color="auto" w:fill="D9D9D9"/>
          </w:tcPr>
          <w:p>
            <w:r>
              <w:rPr>
                <w:b/>
              </w:rPr>
              <w:t>Pruebas</w:t>
            </w:r>
          </w:p>
        </w:tc>
      </w:tr>
      <w:tr>
        <w:tc>
          <w:tcPr>
            <w:tcW w:type="dxa" w:w="2300"/>
          </w:tcPr>
          <w:p>
            <w:r>
              <w:t>Ganado</w:t>
            </w:r>
          </w:p>
        </w:tc>
        <w:tc>
          <w:tcPr>
            <w:tcW w:type="dxa" w:w="5500"/>
          </w:tcPr>
          <w:p>
            <w:r>
              <w:t>AnimalService, AnimalBaja, AnimalCategoria</w:t>
            </w:r>
          </w:p>
        </w:tc>
        <w:tc>
          <w:tcPr>
            <w:tcW w:type="dxa" w:w="1500"/>
          </w:tcPr>
          <w:p>
            <w:r>
              <w:t>55</w:t>
            </w:r>
          </w:p>
        </w:tc>
      </w:tr>
      <w:tr>
        <w:tc>
          <w:tcPr>
            <w:tcW w:type="dxa" w:w="2300"/>
          </w:tcPr>
          <w:p>
            <w:r>
              <w:t>Pesaje</w:t>
            </w:r>
          </w:p>
        </w:tc>
        <w:tc>
          <w:tcPr>
            <w:tcW w:type="dxa" w:w="5500"/>
          </w:tcPr>
          <w:p>
            <w:r>
              <w:t>PesajeService</w:t>
            </w:r>
          </w:p>
        </w:tc>
        <w:tc>
          <w:tcPr>
            <w:tcW w:type="dxa" w:w="1500"/>
          </w:tcPr>
          <w:p>
            <w:r>
              <w:t>20</w:t>
            </w:r>
          </w:p>
        </w:tc>
      </w:tr>
      <w:tr>
        <w:tc>
          <w:tcPr>
            <w:tcW w:type="dxa" w:w="2300"/>
          </w:tcPr>
          <w:p>
            <w:r>
              <w:t>Sanidad</w:t>
            </w:r>
          </w:p>
        </w:tc>
        <w:tc>
          <w:tcPr>
            <w:tcW w:type="dxa" w:w="5500"/>
          </w:tcPr>
          <w:p>
            <w:r>
              <w:t>VacunacionService, SanidadService</w:t>
            </w:r>
          </w:p>
        </w:tc>
        <w:tc>
          <w:tcPr>
            <w:tcW w:type="dxa" w:w="1500"/>
          </w:tcPr>
          <w:p>
            <w:r>
              <w:t>20</w:t>
            </w:r>
          </w:p>
        </w:tc>
      </w:tr>
      <w:tr>
        <w:tc>
          <w:tcPr>
            <w:tcW w:type="dxa" w:w="2300"/>
          </w:tcPr>
          <w:p>
            <w:r>
              <w:t>Corrales</w:t>
            </w:r>
          </w:p>
        </w:tc>
        <w:tc>
          <w:tcPr>
            <w:tcW w:type="dxa" w:w="5500"/>
          </w:tcPr>
          <w:p>
            <w:r>
              <w:t>CorralService</w:t>
            </w:r>
          </w:p>
        </w:tc>
        <w:tc>
          <w:tcPr>
            <w:tcW w:type="dxa" w:w="1500"/>
          </w:tcPr>
          <w:p>
            <w:r>
              <w:t>18</w:t>
            </w:r>
          </w:p>
        </w:tc>
      </w:tr>
      <w:tr>
        <w:tc>
          <w:tcPr>
            <w:tcW w:type="dxa" w:w="2300"/>
          </w:tcPr>
          <w:p>
            <w:r>
              <w:t>Autenticación</w:t>
            </w:r>
          </w:p>
        </w:tc>
        <w:tc>
          <w:tcPr>
            <w:tcW w:type="dxa" w:w="5500"/>
          </w:tcPr>
          <w:p>
            <w:r>
              <w:t>AuthService</w:t>
            </w:r>
          </w:p>
        </w:tc>
        <w:tc>
          <w:tcPr>
            <w:tcW w:type="dxa" w:w="1500"/>
          </w:tcPr>
          <w:p>
            <w:r>
              <w:t>15</w:t>
            </w:r>
          </w:p>
        </w:tc>
      </w:tr>
      <w:tr>
        <w:tc>
          <w:tcPr>
            <w:tcW w:type="dxa" w:w="2300"/>
          </w:tcPr>
          <w:p>
            <w:r>
              <w:t>Colaboradores</w:t>
            </w:r>
          </w:p>
        </w:tc>
        <w:tc>
          <w:tcPr>
            <w:tcW w:type="dxa" w:w="5500"/>
          </w:tcPr>
          <w:p>
            <w:r>
              <w:t>ColaboradorService, InvitacionService</w:t>
            </w:r>
          </w:p>
        </w:tc>
        <w:tc>
          <w:tcPr>
            <w:tcW w:type="dxa" w:w="1500"/>
          </w:tcPr>
          <w:p>
            <w:r>
              <w:t>23</w:t>
            </w:r>
          </w:p>
        </w:tc>
      </w:tr>
      <w:tr>
        <w:tc>
          <w:tcPr>
            <w:tcW w:type="dxa" w:w="2300"/>
          </w:tcPr>
          <w:p>
            <w:r>
              <w:t>Permisos por rol</w:t>
            </w:r>
          </w:p>
        </w:tc>
        <w:tc>
          <w:tcPr>
            <w:tcW w:type="dxa" w:w="5500"/>
          </w:tcPr>
          <w:p>
            <w:r>
              <w:t>MatrizPermisos, PermisoPorModuloFilter, RedDeSeguridadPermisos</w:t>
            </w:r>
          </w:p>
        </w:tc>
        <w:tc>
          <w:tcPr>
            <w:tcW w:type="dxa" w:w="1500"/>
          </w:tcPr>
          <w:p>
            <w:r>
              <w:t>45</w:t>
            </w:r>
          </w:p>
        </w:tc>
      </w:tr>
      <w:tr>
        <w:tc>
          <w:tcPr>
            <w:tcW w:type="dxa" w:w="2300"/>
          </w:tcPr>
          <w:p>
            <w:r>
              <w:t>Límites del plan</w:t>
            </w:r>
          </w:p>
        </w:tc>
        <w:tc>
          <w:tcPr>
            <w:tcW w:type="dxa" w:w="5500"/>
          </w:tcPr>
          <w:p>
            <w:r>
              <w:t>EstrategiasPlan, ControlLimitesPlan, PuntosDeAltaConLimite</w:t>
            </w:r>
          </w:p>
        </w:tc>
        <w:tc>
          <w:tcPr>
            <w:tcW w:type="dxa" w:w="1500"/>
          </w:tcPr>
          <w:p>
            <w:r>
              <w:t>21</w:t>
            </w:r>
          </w:p>
        </w:tc>
      </w:tr>
      <w:tr>
        <w:tc>
          <w:tcPr>
            <w:tcW w:type="dxa" w:w="2300"/>
          </w:tcPr>
          <w:p>
            <w:r>
              <w:t>Sincronización</w:t>
            </w:r>
          </w:p>
        </w:tc>
        <w:tc>
          <w:tcPr>
            <w:tcW w:type="dxa" w:w="5500"/>
          </w:tcPr>
          <w:p>
            <w:r>
              <w:t>Sincronizacion (idempotencia)</w:t>
            </w:r>
          </w:p>
        </w:tc>
        <w:tc>
          <w:tcPr>
            <w:tcW w:type="dxa" w:w="1500"/>
          </w:tcPr>
          <w:p>
            <w:r>
              <w:t>5</w:t>
            </w:r>
          </w:p>
        </w:tc>
      </w:tr>
      <w:tr>
        <w:tc>
          <w:tcPr>
            <w:tcW w:type="dxa" w:w="2300"/>
          </w:tcPr>
          <w:p>
            <w:r>
              <w:t>Total</w:t>
            </w:r>
          </w:p>
        </w:tc>
        <w:tc>
          <w:tcPr>
            <w:tcW w:type="dxa" w:w="5500"/>
          </w:tcPr>
          <w:p>
            <w:r/>
          </w:p>
        </w:tc>
        <w:tc>
          <w:tcPr>
            <w:tcW w:type="dxa" w:w="1500"/>
          </w:tcPr>
          <w:p>
            <w:r>
              <w:t>222</w:t>
            </w:r>
          </w:p>
        </w:tc>
      </w:tr>
    </w:tbl>
    <w:p/>
    <w:p>
      <w:pPr>
        <w:pStyle w:val="Heading2"/>
      </w:pPr>
      <w:r>
        <w:t>Pruebas de la app · 101 (Flutter)</w:t>
      </w:r>
    </w:p>
    <w:tbl>
      <w:tblPr>
        <w:tblStyle w:val="TableGrid"/>
        <w:tblW w:type="auto" w:w="0"/>
        <w:tblLayout w:type="fixed"/>
        <w:tblLook w:firstColumn="1" w:firstRow="1" w:lastColumn="0" w:lastRow="0" w:noHBand="0" w:noVBand="1" w:val="04A0"/>
      </w:tblPr>
      <w:tblGrid>
        <w:gridCol w:w="3600"/>
        <w:gridCol w:w="3600"/>
        <w:gridCol w:w="3600"/>
      </w:tblGrid>
      <w:tr>
        <w:trPr>
          <w:tblHeader/>
        </w:trPr>
        <w:tc>
          <w:tcPr>
            <w:tcW w:type="dxa" w:w="2600"/>
            <w:shd w:val="clear" w:color="auto" w:fill="D9D9D9"/>
          </w:tcPr>
          <w:p>
            <w:r>
              <w:rPr>
                <w:b/>
              </w:rPr>
              <w:t>Área</w:t>
            </w:r>
          </w:p>
        </w:tc>
        <w:tc>
          <w:tcPr>
            <w:tcW w:type="dxa" w:w="5200"/>
            <w:shd w:val="clear" w:color="auto" w:fill="D9D9D9"/>
          </w:tcPr>
          <w:p>
            <w:r>
              <w:rPr>
                <w:b/>
              </w:rPr>
              <w:t>Archivos de prueba</w:t>
            </w:r>
          </w:p>
        </w:tc>
        <w:tc>
          <w:tcPr>
            <w:tcW w:type="dxa" w:w="1500"/>
            <w:shd w:val="clear" w:color="auto" w:fill="D9D9D9"/>
          </w:tcPr>
          <w:p>
            <w:r>
              <w:rPr>
                <w:b/>
              </w:rPr>
              <w:t>Pruebas</w:t>
            </w:r>
          </w:p>
        </w:tc>
      </w:tr>
      <w:tr>
        <w:tc>
          <w:tcPr>
            <w:tcW w:type="dxa" w:w="2600"/>
          </w:tcPr>
          <w:p>
            <w:r>
              <w:t>Ganado</w:t>
            </w:r>
          </w:p>
        </w:tc>
        <w:tc>
          <w:tcPr>
            <w:tcW w:type="dxa" w:w="5200"/>
          </w:tcPr>
          <w:p>
            <w:r>
              <w:t>animal, validaciones_animal, carga_multiple, baja_animal, widget</w:t>
            </w:r>
          </w:p>
        </w:tc>
        <w:tc>
          <w:tcPr>
            <w:tcW w:type="dxa" w:w="1500"/>
          </w:tcPr>
          <w:p>
            <w:r>
              <w:t>35</w:t>
            </w:r>
          </w:p>
        </w:tc>
      </w:tr>
      <w:tr>
        <w:tc>
          <w:tcPr>
            <w:tcW w:type="dxa" w:w="2600"/>
          </w:tcPr>
          <w:p>
            <w:r>
              <w:t>Pesaje</w:t>
            </w:r>
          </w:p>
        </w:tc>
        <w:tc>
          <w:tcPr>
            <w:tcW w:type="dxa" w:w="5200"/>
          </w:tcPr>
          <w:p>
            <w:r>
              <w:t>pesaje, ficha_pesaje</w:t>
            </w:r>
          </w:p>
        </w:tc>
        <w:tc>
          <w:tcPr>
            <w:tcW w:type="dxa" w:w="1500"/>
          </w:tcPr>
          <w:p>
            <w:r>
              <w:t>8</w:t>
            </w:r>
          </w:p>
        </w:tc>
      </w:tr>
      <w:tr>
        <w:tc>
          <w:tcPr>
            <w:tcW w:type="dxa" w:w="2600"/>
          </w:tcPr>
          <w:p>
            <w:r>
              <w:t>Sanidad</w:t>
            </w:r>
          </w:p>
        </w:tc>
        <w:tc>
          <w:tcPr>
            <w:tcW w:type="dxa" w:w="5200"/>
          </w:tcPr>
          <w:p>
            <w:r>
              <w:t>vacunacion, sanidad</w:t>
            </w:r>
          </w:p>
        </w:tc>
        <w:tc>
          <w:tcPr>
            <w:tcW w:type="dxa" w:w="1500"/>
          </w:tcPr>
          <w:p>
            <w:r>
              <w:t>7</w:t>
            </w:r>
          </w:p>
        </w:tc>
      </w:tr>
      <w:tr>
        <w:tc>
          <w:tcPr>
            <w:tcW w:type="dxa" w:w="2600"/>
          </w:tcPr>
          <w:p>
            <w:r>
              <w:t>Corrales</w:t>
            </w:r>
          </w:p>
        </w:tc>
        <w:tc>
          <w:tcPr>
            <w:tcW w:type="dxa" w:w="5200"/>
          </w:tcPr>
          <w:p>
            <w:r>
              <w:t>corrales</w:t>
            </w:r>
          </w:p>
        </w:tc>
        <w:tc>
          <w:tcPr>
            <w:tcW w:type="dxa" w:w="1500"/>
          </w:tcPr>
          <w:p>
            <w:r>
              <w:t>9</w:t>
            </w:r>
          </w:p>
        </w:tc>
      </w:tr>
      <w:tr>
        <w:tc>
          <w:tcPr>
            <w:tcW w:type="dxa" w:w="2600"/>
          </w:tcPr>
          <w:p>
            <w:r>
              <w:t>Colaboradores, permisos y plan</w:t>
            </w:r>
          </w:p>
        </w:tc>
        <w:tc>
          <w:tcPr>
            <w:tcW w:type="dxa" w:w="5200"/>
          </w:tcPr>
          <w:p>
            <w:r>
              <w:t>colaboradores, permisos, plan</w:t>
            </w:r>
          </w:p>
        </w:tc>
        <w:tc>
          <w:tcPr>
            <w:tcW w:type="dxa" w:w="1500"/>
          </w:tcPr>
          <w:p>
            <w:r>
              <w:t>24</w:t>
            </w:r>
          </w:p>
        </w:tc>
      </w:tr>
      <w:tr>
        <w:tc>
          <w:tcPr>
            <w:tcW w:type="dxa" w:w="2600"/>
          </w:tcPr>
          <w:p>
            <w:r>
              <w:t>Sesión</w:t>
            </w:r>
          </w:p>
        </w:tc>
        <w:tc>
          <w:tcPr>
            <w:tcW w:type="dxa" w:w="5200"/>
          </w:tcPr>
          <w:p>
            <w:r>
              <w:t>cerrar_sesion</w:t>
            </w:r>
          </w:p>
        </w:tc>
        <w:tc>
          <w:tcPr>
            <w:tcW w:type="dxa" w:w="1500"/>
          </w:tcPr>
          <w:p>
            <w:r>
              <w:t>2</w:t>
            </w:r>
          </w:p>
        </w:tc>
      </w:tr>
      <w:tr>
        <w:tc>
          <w:tcPr>
            <w:tcW w:type="dxa" w:w="2600"/>
          </w:tcPr>
          <w:p>
            <w:r>
              <w:t>Modo sin conexión</w:t>
            </w:r>
          </w:p>
        </w:tc>
        <w:tc>
          <w:tcPr>
            <w:tcW w:type="dxa" w:w="5200"/>
          </w:tcPr>
          <w:p>
            <w:r>
              <w:t>conexion, sin_conexion, sincronizacion</w:t>
            </w:r>
          </w:p>
        </w:tc>
        <w:tc>
          <w:tcPr>
            <w:tcW w:type="dxa" w:w="1500"/>
          </w:tcPr>
          <w:p>
            <w:r>
              <w:t>16</w:t>
            </w:r>
          </w:p>
        </w:tc>
      </w:tr>
      <w:tr>
        <w:tc>
          <w:tcPr>
            <w:tcW w:type="dxa" w:w="2600"/>
          </w:tcPr>
          <w:p>
            <w:r>
              <w:t>Total</w:t>
            </w:r>
          </w:p>
        </w:tc>
        <w:tc>
          <w:tcPr>
            <w:tcW w:type="dxa" w:w="5200"/>
          </w:tcPr>
          <w:p>
            <w:r/>
          </w:p>
        </w:tc>
        <w:tc>
          <w:tcPr>
            <w:tcW w:type="dxa" w:w="1500"/>
          </w:tcPr>
          <w:p>
            <w:r>
              <w:t>101</w:t>
            </w:r>
          </w:p>
        </w:tc>
      </w:tr>
    </w:tbl>
    <w:p/>
    <w:p>
      <w:pPr>
        <w:pStyle w:val="Heading2"/>
      </w:pPr>
      <w:r>
        <w:t>Definition of Done aplicada</w:t>
      </w:r>
    </w:p>
    <w:p>
      <w:pPr>
        <w:pStyle w:val="ListBullet"/>
      </w:pPr>
      <w:r>
        <w:t>Criterios de aceptación de la historia cumplidos y probados a mano.</w:t>
      </w:r>
    </w:p>
    <w:p>
      <w:pPr>
        <w:pStyle w:val="ListBullet"/>
      </w:pPr>
      <w:r>
        <w:t>Pruebas automáticas nuevas para las reglas de la historia, todas en verde en el CI.</w:t>
      </w:r>
    </w:p>
    <w:p>
      <w:pPr>
        <w:pStyle w:val="ListBullet"/>
      </w:pPr>
      <w:r>
        <w:t>Cambio entregado por Pull Request hacia develop, con descripción de lo hecho y de cómo se probó.</w:t>
      </w:r>
    </w:p>
    <w:p>
      <w:pPr>
        <w:pStyle w:val="ListBullet"/>
      </w:pPr>
      <w:r>
        <w:t>Issue de la historia cerrado al llegar a main.</w:t>
      </w:r>
    </w:p>
    <w:p>
      <w:pPr>
        <w:pStyle w:val="Heading1"/>
      </w:pPr>
      <w:r>
        <w:t>6. Reglas de negocio agregadas</w:t>
      </w:r>
    </w:p>
    <w:p>
      <w:pPr/>
      <w:r>
        <w:t>Se sumaron al backlog refinado (sección 4), que pasa de 16 a 18 reglas explícitas:</w:t>
      </w:r>
    </w:p>
    <w:p>
      <w:pPr>
        <w:pStyle w:val="ListBullet"/>
      </w:pPr>
      <w:r>
        <w:rPr>
          <w:b/>
        </w:rPr>
        <w:t>RN-17 · Rangos de validación del animal:</w:t>
      </w:r>
      <w:r>
        <w:t xml:space="preserve"> identificación, sexo, raza y fecha de nacimiento obligatorios; identificación en mayúsculas sin duplicados; nacimiento no futuro y de hasta 25 años; peso al nacer de 10 a 80 kg; peso actual mayor que 0 y de hasta 1500 kg; las mismas reglas en la app y en el servidor.</w:t>
      </w:r>
    </w:p>
    <w:p>
      <w:pPr>
        <w:pStyle w:val="ListBullet"/>
      </w:pPr>
      <w:r>
        <w:rPr>
          <w:b/>
        </w:rPr>
        <w:t>RN-18 · Categoría del animal:</w:t>
      </w:r>
      <w:r>
        <w:t xml:space="preserve"> se calcula según sexo, edad y castración (Ternero/Ternera, Vaquillona, Vaca, Torito, Novillo, Toro) y no se guarda, porque cambia sola con la edad.</w:t>
      </w:r>
    </w:p>
    <w:p>
      <w:pPr/>
      <w:r>
        <w:t>El backlog también incorpora las historias HU-64 a HU-74 surgidas durante el sprint (sección 7.5).</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GanaderíaPro — Informe del Sprint 2</dc:title>
  <dc:subject/>
  <dc:creator>Alex Vigabriel</dc:creator>
  <cp:keywords/>
  <dc:description>generated by python-docx</dc:description>
  <cp:lastModifiedBy/>
  <cp:revision>1</cp:revision>
  <dcterms:created xsi:type="dcterms:W3CDTF">2013-12-23T23:15:00Z</dcterms:created>
  <dcterms:modified xsi:type="dcterms:W3CDTF">2013-12-23T23:15:00Z</dcterms:modified>
  <cp:category/>
</cp:coreProperties>
</file>