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Requisitos – Sistema de Gestión Gastronómica</w:t>
      </w:r>
    </w:p>
    <w:p>
      <w:r>
        <w:t>El presente documento describe los requisitos del módulo de planificación y control de utensilios para prácticas académicas de los laboratorios, que integra el Sistema de Gestión Gastronómica. El módulo organiza un flujo único desde la planificación de la práctica hasta el cierre de la devolución, con trazabilidad de entregas (L-3) e incidentes (L-5). Se distinguen los requisitos funcionales y los no funcionales; el alcance actual corresponde a un prototipo navegable con datos demostrativos.</w:t>
      </w:r>
    </w:p>
    <w:p>
      <w:pPr>
        <w:pStyle w:val="Heading1"/>
      </w:pPr>
      <w:r>
        <w:t>Requisitos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Descripción</w:t>
            </w:r>
          </w:p>
        </w:tc>
        <w:tc>
          <w:tcPr>
            <w:tcW w:type="dxa" w:w="2880"/>
          </w:tcPr>
          <w:p>
            <w:r/>
            <w:r>
              <w:rPr>
                <w:b/>
              </w:rPr>
              <w:t>Prioridad</w:t>
            </w:r>
          </w:p>
        </w:tc>
      </w:tr>
      <w:tr>
        <w:tc>
          <w:tcPr>
            <w:tcW w:type="dxa" w:w="2880"/>
          </w:tcPr>
          <w:p>
            <w:r>
              <w:t>RF-01</w:t>
            </w:r>
          </w:p>
        </w:tc>
        <w:tc>
          <w:tcPr>
            <w:tcW w:type="dxa" w:w="2880"/>
          </w:tcPr>
          <w:p>
            <w:r>
              <w:t>El sistema permitirá planificar cada práctica con su contexto académico: fecha, laboratorio y grupo (HU-001, HU-002).</w:t>
            </w:r>
          </w:p>
        </w:tc>
        <w:tc>
          <w:tcPr>
            <w:tcW w:type="dxa" w:w="2880"/>
          </w:tcPr>
          <w:p>
            <w:r>
              <w:t>Alta (P0)</w:t>
            </w:r>
          </w:p>
        </w:tc>
      </w:tr>
      <w:tr>
        <w:tc>
          <w:tcPr>
            <w:tcW w:type="dxa" w:w="2880"/>
          </w:tcPr>
          <w:p>
            <w:r>
              <w:t>RF-02</w:t>
            </w:r>
          </w:p>
        </w:tc>
        <w:tc>
          <w:tcPr>
            <w:tcW w:type="dxa" w:w="2880"/>
          </w:tcPr>
          <w:p>
            <w:r>
              <w:t>El sistema permitirá definir los requerimientos de utensilios por catálogo y cantidad para cada práctica (HU-003, HU-019).</w:t>
            </w:r>
          </w:p>
        </w:tc>
        <w:tc>
          <w:tcPr>
            <w:tcW w:type="dxa" w:w="2880"/>
          </w:tcPr>
          <w:p>
            <w:r>
              <w:t>Alta (P0)</w:t>
            </w:r>
          </w:p>
        </w:tc>
      </w:tr>
      <w:tr>
        <w:tc>
          <w:tcPr>
            <w:tcW w:type="dxa" w:w="2880"/>
          </w:tcPr>
          <w:p>
            <w:r>
              <w:t>RF-03</w:t>
            </w:r>
          </w:p>
        </w:tc>
        <w:tc>
          <w:tcPr>
            <w:tcW w:type="dxa" w:w="2880"/>
          </w:tcPr>
          <w:p>
            <w:r>
              <w:t>El sistema validará la disponibilidad de utensilios, detectando stock libre, necesidad de préstamo, mantenimiento y solapamientos, y permitirá aprobar la reserva (HU-004 a HU-007, HU-013).</w:t>
            </w:r>
          </w:p>
        </w:tc>
        <w:tc>
          <w:tcPr>
            <w:tcW w:type="dxa" w:w="2880"/>
          </w:tcPr>
          <w:p>
            <w:r>
              <w:t>Alta (P0)</w:t>
            </w:r>
          </w:p>
        </w:tc>
      </w:tr>
      <w:tr>
        <w:tc>
          <w:tcPr>
            <w:tcW w:type="dxa" w:w="2880"/>
          </w:tcPr>
          <w:p>
            <w:r>
              <w:t>RF-04</w:t>
            </w:r>
          </w:p>
        </w:tc>
        <w:tc>
          <w:tcPr>
            <w:tcW w:type="dxa" w:w="2880"/>
          </w:tcPr>
          <w:p>
            <w:r>
              <w:t>El sistema generará el documento de entrega L-3 y registrará la devolución, y abrirá una novedad L-5 ante daños, pérdidas o faltantes (HU-008 a HU-012, HU-014).</w:t>
            </w:r>
          </w:p>
        </w:tc>
        <w:tc>
          <w:tcPr>
            <w:tcW w:type="dxa" w:w="2880"/>
          </w:tcPr>
          <w:p>
            <w:r>
              <w:t>Alta (P0)</w:t>
            </w:r>
          </w:p>
        </w:tc>
      </w:tr>
      <w:tr>
        <w:tc>
          <w:tcPr>
            <w:tcW w:type="dxa" w:w="2880"/>
          </w:tcPr>
          <w:p>
            <w:r>
              <w:t>RF-05</w:t>
            </w:r>
          </w:p>
        </w:tc>
        <w:tc>
          <w:tcPr>
            <w:tcW w:type="dxa" w:w="2880"/>
          </w:tcPr>
          <w:p>
            <w:r>
              <w:t>El sistema consolidará la demanda pico y las brechas recurrentes para apoyar la planificación y las compras futuras (HU-017, HU-018, HU-020).</w:t>
            </w:r>
          </w:p>
        </w:tc>
        <w:tc>
          <w:tcPr>
            <w:tcW w:type="dxa" w:w="2880"/>
          </w:tcPr>
          <w:p>
            <w:r>
              <w:t>Media (P1)</w:t>
            </w:r>
          </w:p>
        </w:tc>
      </w:tr>
    </w:tbl>
    <w:p>
      <w:pPr>
        <w:pStyle w:val="Heading1"/>
      </w:pPr>
      <w:r>
        <w:t>Requisitos no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Descripción</w:t>
            </w:r>
          </w:p>
        </w:tc>
        <w:tc>
          <w:tcPr>
            <w:tcW w:type="dxa" w:w="2880"/>
          </w:tcPr>
          <w:p>
            <w:r/>
            <w:r>
              <w:rPr>
                <w:b/>
              </w:rPr>
              <w:t>Prioridad</w:t>
            </w:r>
          </w:p>
        </w:tc>
      </w:tr>
      <w:tr>
        <w:tc>
          <w:tcPr>
            <w:tcW w:type="dxa" w:w="2880"/>
          </w:tcPr>
          <w:p>
            <w:r>
              <w:t>RNF-01</w:t>
            </w:r>
          </w:p>
        </w:tc>
        <w:tc>
          <w:tcPr>
            <w:tcW w:type="dxa" w:w="2880"/>
          </w:tcPr>
          <w:p>
            <w:r>
              <w:t>Integridad de datos: los catálogos con clasificación pendiente no podrán reservarse como confirmados, y las unidades físicas deberán tener inventario, laboratorio, ubicación y estado normalizados.</w:t>
            </w:r>
          </w:p>
        </w:tc>
        <w:tc>
          <w:tcPr>
            <w:tcW w:type="dxa" w:w="2880"/>
          </w:tcPr>
          <w:p>
            <w:r>
              <w:t>Alta</w:t>
            </w:r>
          </w:p>
        </w:tc>
      </w:tr>
      <w:tr>
        <w:tc>
          <w:tcPr>
            <w:tcW w:type="dxa" w:w="2880"/>
          </w:tcPr>
          <w:p>
            <w:r>
              <w:t>RNF-02</w:t>
            </w:r>
          </w:p>
        </w:tc>
        <w:tc>
          <w:tcPr>
            <w:tcW w:type="dxa" w:w="2880"/>
          </w:tcPr>
          <w:p>
            <w:r>
              <w:t>Usabilidad: la navegación entre las siete vistas será coherente y el botón principal de cada pantalla seguirá el flujo esperado de la operación.</w:t>
            </w:r>
          </w:p>
        </w:tc>
        <w:tc>
          <w:tcPr>
            <w:tcW w:type="dxa" w:w="2880"/>
          </w:tcPr>
          <w:p>
            <w:r>
              <w:t>Media</w:t>
            </w:r>
          </w:p>
        </w:tc>
      </w:tr>
      <w:tr>
        <w:tc>
          <w:tcPr>
            <w:tcW w:type="dxa" w:w="2880"/>
          </w:tcPr>
          <w:p>
            <w:r>
              <w:t>RNF-03</w:t>
            </w:r>
          </w:p>
        </w:tc>
        <w:tc>
          <w:tcPr>
            <w:tcW w:type="dxa" w:w="2880"/>
          </w:tcPr>
          <w:p>
            <w:r>
              <w:t>Trazabilidad y auditoría: cada reserva, entrega, devolución e incidente conservará responsable e historial de decisiones, y los criterios se expresarán en formato Dado/Cuando/Entonces para su verificación por QA.</w:t>
            </w:r>
          </w:p>
        </w:tc>
        <w:tc>
          <w:tcPr>
            <w:tcW w:type="dxa" w:w="2880"/>
          </w:tcPr>
          <w:p>
            <w:r>
              <w:t>Alta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