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del sistema de inventarios</w:t>
      </w:r>
    </w:p>
    <w:p>
      <w:r>
        <w:t>Fernando Marupa Arnez | Equipo 3 | 19 de octubre de 2026</w:t>
      </w:r>
    </w:p>
    <w:p>
      <w:r>
        <w:t>El alcance inicial cubre un almacén, un catálogo de productos y el registro de entradas y salidas. Los requisitos se proponen para orientar el desarrollo y deben validarse con el usuario del almacén.</w:t>
      </w:r>
    </w:p>
    <w:p>
      <w:pPr>
        <w:pStyle w:val="Heading1"/>
      </w:pPr>
      <w:r>
        <w:t>Requisitos funcionales</w:t>
      </w:r>
    </w:p>
    <w:p>
      <w:pPr>
        <w:pStyle w:val="Heading2"/>
      </w:pPr>
      <w:r>
        <w:t>RF01 Registrar productos</w:t>
      </w:r>
    </w:p>
    <w:p>
      <w:r>
        <w:t>Código único, nombre, categoría, unidad y stock mínimo. Rechazar un código repetido.</w:t>
      </w:r>
    </w:p>
    <w:p>
      <w:pPr>
        <w:pStyle w:val="Heading2"/>
      </w:pPr>
      <w:r>
        <w:t>RF02 Consultar catálogo</w:t>
      </w:r>
    </w:p>
    <w:p>
      <w:r>
        <w:t>Buscar productos por código o nombre y visualizar sus datos.</w:t>
      </w:r>
    </w:p>
    <w:p>
      <w:pPr>
        <w:pStyle w:val="Heading2"/>
      </w:pPr>
      <w:r>
        <w:t>RF03 Registrar entradas</w:t>
      </w:r>
    </w:p>
    <w:p>
      <w:r>
        <w:t>Guardar producto, cantidad positiva, fecha, motivo y responsable; incrementar existencias.</w:t>
      </w:r>
    </w:p>
    <w:p>
      <w:pPr>
        <w:pStyle w:val="Heading2"/>
      </w:pPr>
      <w:r>
        <w:t>RF04 Registrar salidas</w:t>
      </w:r>
    </w:p>
    <w:p>
      <w:r>
        <w:t>Guardar el movimiento solo si la cantidad es positiva y no supera las existencias.</w:t>
      </w:r>
    </w:p>
    <w:p>
      <w:pPr>
        <w:pStyle w:val="Heading2"/>
      </w:pPr>
      <w:r>
        <w:t>RF05 Consultar stock</w:t>
      </w:r>
    </w:p>
    <w:p>
      <w:r>
        <w:t>Calcular el saldo como entradas menos salidas por producto.</w:t>
      </w:r>
    </w:p>
    <w:p>
      <w:pPr>
        <w:pStyle w:val="Heading2"/>
      </w:pPr>
      <w:r>
        <w:t>RF06 Alertar stock mínimo</w:t>
      </w:r>
    </w:p>
    <w:p>
      <w:r>
        <w:t>Identificar los productos cuyo saldo sea menor o igual al mínimo configurado.</w:t>
      </w:r>
    </w:p>
    <w:p>
      <w:pPr>
        <w:pStyle w:val="Heading2"/>
      </w:pPr>
      <w:r>
        <w:t>RF07 Consultar historial</w:t>
      </w:r>
    </w:p>
    <w:p>
      <w:r>
        <w:t>Filtrar movimientos por producto y rango de fechas.</w:t>
      </w:r>
    </w:p>
    <w:p>
      <w:pPr>
        <w:pStyle w:val="Heading2"/>
      </w:pPr>
      <w:r>
        <w:t>RF08 Gestionar acceso</w:t>
      </w:r>
    </w:p>
    <w:p>
      <w:r>
        <w:t>Distinguir administración y operación de almacén en la futura aplicación.</w:t>
      </w:r>
    </w:p>
    <w:p>
      <w:pPr>
        <w:pStyle w:val="Heading1"/>
      </w:pPr>
      <w:r>
        <w:t>Requisitos no funcionales</w:t>
      </w:r>
    </w:p>
    <w:p>
      <w:r>
        <w:t>RNF01 Integridad: registrar cada movimiento de forma transaccional y conservar su responsable. RNF02 Seguridad: no guardar contraseñas en texto plano. RNF03 Usabilidad: indicar los errores de validación junto al campo correspondiente. RNF04 Respaldo: definir un procedimiento de copia y restauración antes del uso real.</w:t>
      </w:r>
    </w:p>
    <w:p>
      <w:pPr>
        <w:pStyle w:val="Heading1"/>
      </w:pPr>
      <w:r>
        <w:t>Fuera del alcance inicial</w:t>
      </w:r>
    </w:p>
    <w:p>
      <w:r>
        <w:t>Facturación, pagos, contabilidad y sincronización entre múltiples almacenes.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