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33429ae74a45a6ac9a110e3d7203b6fd4a3032"/>
    <w:p>
      <w:pPr>
        <w:pStyle w:val="Heading1"/>
      </w:pPr>
      <w:r>
        <w:t xml:space="preserve">Trend-Following Strategies Based on Trend, Macro Signals and Spread Deviations</w:t>
      </w:r>
    </w:p>
    <w:bookmarkStart w:id="20" w:name="introduction-and-motivation"/>
    <w:p>
      <w:pPr>
        <w:pStyle w:val="Heading2"/>
      </w:pPr>
      <w:r>
        <w:t xml:space="preserve">1. Introduction and Motivation</w:t>
      </w:r>
    </w:p>
    <w:p>
      <w:pPr>
        <w:pStyle w:val="FirstParagraph"/>
      </w:pPr>
      <w:r>
        <w:t xml:space="preserve">This section investigates the implementation of trading strategies on the S&amp;P 500 index based on the signals developed in the previous questions. The objective is not merely to construct profitable strategies, but to assess whether information extracted from the estimated trend, macroeconomic variables, and deviations from trend can be economically and statistically exploited in a realistic investment framework.</w:t>
      </w:r>
    </w:p>
    <w:p>
      <w:pPr>
        <w:pStyle w:val="BodyText"/>
      </w:pPr>
      <w:r>
        <w:t xml:space="preserve">From a financial econometrics perspective, this exercise raises several key issues. First, financial prices exhibit strong persistence and regime dependence, implying that a single signal is unlikely to perform well across all market conditions. Second, signals extracted from estimated latent variables, such as the trend slope, are subject to estimation error and model uncertainty. Finally, any trading rule must strictly rely on information available at time t−1 in order to avoid look-ahead bias.</w:t>
      </w:r>
    </w:p>
    <w:p>
      <w:pPr>
        <w:pStyle w:val="BodyText"/>
      </w:pPr>
      <w:r>
        <w:t xml:space="preserve">In this context, three distinct trading strategies are considered, each reflecting a different economic intuition: trend continuation, macroeconomic anticipation, and mean reversion following abnormal deviations from trend.</w:t>
      </w:r>
    </w:p>
    <w:p>
      <w:r>
        <w:pict>
          <v:rect style="width:0;height:1.5pt" o:hralign="center" o:hrstd="t" o:hr="t"/>
        </w:pict>
      </w:r>
    </w:p>
    <w:bookmarkEnd w:id="20"/>
    <w:bookmarkStart w:id="24" w:name="construction-of-trading-signals"/>
    <w:p>
      <w:pPr>
        <w:pStyle w:val="Heading2"/>
      </w:pPr>
      <w:r>
        <w:t xml:space="preserve">2. Construction of Trading Signals</w:t>
      </w:r>
    </w:p>
    <w:bookmarkStart w:id="21" w:name="Xef3a702694a888dee6cbb69859fa5858e6068b7"/>
    <w:p>
      <w:pPr>
        <w:pStyle w:val="Heading3"/>
      </w:pPr>
      <w:r>
        <w:t xml:space="preserve">2.1 Trend-Following Signal Based on the Estimated Slope</w:t>
      </w:r>
    </w:p>
    <w:p>
      <w:pPr>
        <w:pStyle w:val="FirstParagraph"/>
      </w:pPr>
      <w:r>
        <w:t xml:space="preserve">The first strategy relies on the sign of the estimated stochastic slope Sₜ of the trend component obtained from the state-space model described previously. The economic intuition behind this signal is straightforward: when the slope of the trend is positive, the market exhibits upward momentum, justifying a long position; conversely, a negative slope suggests a downward trend and motivates a short position.</w:t>
      </w:r>
    </w:p>
    <w:p>
      <w:pPr>
        <w:pStyle w:val="BodyText"/>
      </w:pPr>
      <w:r>
        <w:t xml:space="preserve">This strategy corresponds to a pure trend-following approach, commonly used by systematic investors and commodity trading advisors. However, from an econometric standpoint, this signal is exposed to two major risks. First, estimation noise in Sₜ may generate frequent sign changes, leading to excessive trading. Second, trend-following strategies are known to underperform during sideways or mean-reverting market phases.</w:t>
      </w:r>
    </w:p>
    <w:p>
      <w:pPr>
        <w:pStyle w:val="BodyText"/>
      </w:pPr>
      <w:r>
        <w:t xml:space="preserve">All positions are taken using the sign of Sₜ₋₁ to ensure that the strategy only exploits information available prior to the trading decision.</w:t>
      </w:r>
    </w:p>
    <w:p>
      <w:pPr>
        <w:pStyle w:val="BodyText"/>
      </w:pPr>
      <w:r>
        <w:rPr>
          <w:b/>
          <w:bCs/>
        </w:rPr>
        <w:t xml:space="preserve">[Insert Figure 1: Cumulative P&amp;L – Trend-Following Strategy (Slope Signal)]</w:t>
      </w:r>
    </w:p>
    <w:p>
      <w:r>
        <w:pict>
          <v:rect style="width:0;height:1.5pt" o:hralign="center" o:hrstd="t" o:hr="t"/>
        </w:pict>
      </w:r>
    </w:p>
    <w:bookmarkEnd w:id="21"/>
    <w:bookmarkStart w:id="22" w:name="macro-predicted-trend-signal"/>
    <w:p>
      <w:pPr>
        <w:pStyle w:val="Heading3"/>
      </w:pPr>
      <w:r>
        <w:t xml:space="preserve">2.2 Macro-Predicted Trend Signal</w:t>
      </w:r>
    </w:p>
    <w:p>
      <w:pPr>
        <w:pStyle w:val="FirstParagraph"/>
      </w:pPr>
      <w:r>
        <w:t xml:space="preserve">The second strategy extends the previous approach by incorporating macroeconomic information. Rather than relying on the realized slope Sₜ, the strategy uses a predicted slope Ŝₜ obtained from a regression of the slope on macroeconomic variables provided in the dataset.</w:t>
      </w:r>
    </w:p>
    <w:p>
      <w:pPr>
        <w:pStyle w:val="BodyText"/>
      </w:pPr>
      <w:r>
        <w:t xml:space="preserve">The rationale for this approach is that macroeconomic conditions, such as growth, inflation, or financial stress indicators, may influence the expected direction of the market trend before this information is fully reflected in prices. By conditioning the trading decision on Ŝₜ₋₁, the strategy attempts to anticipate changes in market dynamics rather than react to them.</w:t>
      </w:r>
    </w:p>
    <w:p>
      <w:pPr>
        <w:pStyle w:val="BodyText"/>
      </w:pPr>
      <w:r>
        <w:t xml:space="preserve">From a methodological perspective, this strategy introduces additional sources of uncertainty. The predictive relationship between macro variables and the trend slope may be unstable over time, and the signal is sensitive to model specification and coefficient estimation. Nevertheless, it represents a more structural approach to trend-following, grounded in economic fundamentals rather than purely statistical persistence.</w:t>
      </w:r>
    </w:p>
    <w:p>
      <w:pPr>
        <w:pStyle w:val="BodyText"/>
      </w:pPr>
      <w:r>
        <w:rPr>
          <w:b/>
          <w:bCs/>
        </w:rPr>
        <w:t xml:space="preserve">[Insert Figure 2: Cumulative P&amp;L – Macro-Predicted Trend Strategy]</w:t>
      </w:r>
    </w:p>
    <w:p>
      <w:r>
        <w:pict>
          <v:rect style="width:0;height:1.5pt" o:hralign="center" o:hrstd="t" o:hr="t"/>
        </w:pict>
      </w:r>
    </w:p>
    <w:bookmarkEnd w:id="22"/>
    <w:bookmarkStart w:id="23" w:name="X4db8810b28af7266ddb95342656c9a414c62988"/>
    <w:p>
      <w:pPr>
        <w:pStyle w:val="Heading3"/>
      </w:pPr>
      <w:r>
        <w:t xml:space="preserve">2.3 Contrarian Strategy Based on Spread Thresholds</w:t>
      </w:r>
    </w:p>
    <w:p>
      <w:pPr>
        <w:pStyle w:val="FirstParagraph"/>
      </w:pPr>
      <w:r>
        <w:t xml:space="preserve">The third strategy is fundamentally different in nature. It exploits the spread Δₜ between the logarithm of the S&amp;P 500 index and its estimated trend. As established in Question 1, large absolute values of Δₜ correspond to abnormal deviations of prices from their long-term trend.</w:t>
      </w:r>
    </w:p>
    <w:p>
      <w:pPr>
        <w:pStyle w:val="BodyText"/>
      </w:pPr>
      <w:r>
        <w:t xml:space="preserve">The strategy adopts a contrarian logic: when the spread exceeds an upper threshold, the market is considered overvalued relative to its trend, and a short position is taken; when the spread falls below a lower threshold, the market is deemed undervalued, and a long position is initiated. This approach implicitly assumes mean reversion of prices toward the estimated trend.</w:t>
      </w:r>
    </w:p>
    <w:p>
      <w:pPr>
        <w:pStyle w:val="BodyText"/>
      </w:pPr>
      <w:r>
        <w:t xml:space="preserve">Economically, this strategy is particularly relevant during periods of market stress or exuberance, when prices temporarily detach from fundamentals. However, it may remain inactive for long periods during stable market conditions, and its performance depends critically on the choice of thresholds.</w:t>
      </w:r>
    </w:p>
    <w:p>
      <w:pPr>
        <w:pStyle w:val="BodyText"/>
      </w:pPr>
      <w:r>
        <w:t xml:space="preserve">As with the other strategies, the trading decision at time t is based on Δₜ₋₁.</w:t>
      </w:r>
    </w:p>
    <w:p>
      <w:pPr>
        <w:pStyle w:val="BodyText"/>
      </w:pPr>
      <w:r>
        <w:rPr>
          <w:b/>
          <w:bCs/>
        </w:rPr>
        <w:t xml:space="preserve">[Insert Figure 3: Cumulative P&amp;L – Contrarian Strategy Based on Δₜ Thresholds]</w:t>
      </w:r>
    </w:p>
    <w:p>
      <w:r>
        <w:pict>
          <v:rect style="width:0;height:1.5pt" o:hralign="center" o:hrstd="t" o:hr="t"/>
        </w:pict>
      </w:r>
    </w:p>
    <w:bookmarkEnd w:id="23"/>
    <w:bookmarkEnd w:id="24"/>
    <w:bookmarkStart w:id="25" w:name="comparative-performance-analysis"/>
    <w:p>
      <w:pPr>
        <w:pStyle w:val="Heading2"/>
      </w:pPr>
      <w:r>
        <w:t xml:space="preserve">3. Comparative Performance Analysis</w:t>
      </w:r>
    </w:p>
    <w:p>
      <w:pPr>
        <w:pStyle w:val="FirstParagraph"/>
      </w:pPr>
      <w:r>
        <w:t xml:space="preserve">Figure 4 compares the cumulative performance of the three strategies with the buy-and-hold S&amp;P 500 benchmark. Several important observations emerge from this comparison.</w:t>
      </w:r>
    </w:p>
    <w:p>
      <w:pPr>
        <w:pStyle w:val="BodyText"/>
      </w:pPr>
      <w:r>
        <w:t xml:space="preserve">First, the pure trend-following strategy based on the realized slope exhibits prolonged periods of underperformance. While it captures some persistent trends, it suffers significantly during periods characterized by frequent reversals or low trend intensity. This behavior is consistent with the well-documented weaknesses of mechanical trend-following strategies in equity markets.</w:t>
      </w:r>
    </w:p>
    <w:p>
      <w:pPr>
        <w:pStyle w:val="BodyText"/>
      </w:pPr>
      <w:r>
        <w:t xml:space="preserve">Second, the macro-predicted strategy shows a smoother performance profile and partially mitigates some of the drawbacks of the pure slope-based strategy. However, its performance remains volatile and does not consistently dominate the benchmark, reflecting the difficulty of extracting stable predictive signals from macroeconomic variables.</w:t>
      </w:r>
    </w:p>
    <w:p>
      <w:pPr>
        <w:pStyle w:val="BodyText"/>
      </w:pPr>
      <w:r>
        <w:t xml:space="preserve">Third, the contrarian strategy stands out during crisis episodes, such as the 2008 financial crisis and the 2020 COVID shock. During these periods, deviations from trend become extreme, and mean reversion forces dominate market dynamics. Outside of such episodes, however, the strategy delivers flatter performance.</w:t>
      </w:r>
    </w:p>
    <w:p>
      <w:pPr>
        <w:pStyle w:val="BodyText"/>
      </w:pPr>
      <w:r>
        <w:rPr>
          <w:b/>
          <w:bCs/>
        </w:rPr>
        <w:t xml:space="preserve">[Insert Figure 4: Comparative Cumulative P&amp;L – All Strategies and S&amp;P 500]</w:t>
      </w:r>
    </w:p>
    <w:p>
      <w:r>
        <w:pict>
          <v:rect style="width:0;height:1.5pt" o:hralign="center" o:hrstd="t" o:hr="t"/>
        </w:pict>
      </w:r>
    </w:p>
    <w:bookmarkEnd w:id="25"/>
    <w:bookmarkStart w:id="26" w:name="X0c0625668e1f0bfa0089f34737cb778bc2cd3ee"/>
    <w:p>
      <w:pPr>
        <w:pStyle w:val="Heading2"/>
      </w:pPr>
      <w:r>
        <w:t xml:space="preserve">4. Discussion: Complementarity of Signals and Ensemble Perspective</w:t>
      </w:r>
    </w:p>
    <w:p>
      <w:pPr>
        <w:pStyle w:val="FirstParagraph"/>
      </w:pPr>
      <w:r>
        <w:t xml:space="preserve">The results highlight that no single signal dominates across all market regimes. Trend-following signals perform best in persistent directional markets, macro-based signals aim to anticipate regime changes, and contrarian signals exploit temporary misalignments between prices and trend.</w:t>
      </w:r>
    </w:p>
    <w:p>
      <w:pPr>
        <w:pStyle w:val="BodyText"/>
      </w:pPr>
      <w:r>
        <w:t xml:space="preserve">This complementarity naturally suggests that combining signals could lead to more robust performance. Rather than viewing the strategies as competitors, they can be interpreted as capturing different dimensions of market behavior. From an econometric standpoint, this reinforces the idea that financial markets are driven by multiple latent forces that cannot be summarized by a single indicator.</w:t>
      </w:r>
    </w:p>
    <w:p>
      <w:pPr>
        <w:pStyle w:val="BodyText"/>
      </w:pPr>
      <w:r>
        <w:t xml:space="preserve">Although each strategy is implemented independently in this analysis, the results strongly motivate the construction of an ensemble strategy aggregating the available signals. Such an approach would allow the investor to dynamically adapt to changing market conditions while reducing reliance on any single, potentially unstable, source of information.</w:t>
      </w:r>
    </w:p>
    <w:p>
      <w:r>
        <w:pict>
          <v:rect style="width:0;height:1.5pt" o:hralign="center" o:hrstd="t" o:hr="t"/>
        </w:pict>
      </w:r>
    </w:p>
    <w:bookmarkEnd w:id="26"/>
    <w:bookmarkStart w:id="27" w:name="conclusion"/>
    <w:p>
      <w:pPr>
        <w:pStyle w:val="Heading2"/>
      </w:pPr>
      <w:r>
        <w:t xml:space="preserve">5. Conclusion</w:t>
      </w:r>
    </w:p>
    <w:p>
      <w:pPr>
        <w:pStyle w:val="FirstParagraph"/>
      </w:pPr>
      <w:r>
        <w:t xml:space="preserve">This section demonstrates that trading strategies based on trend estimation, macroeconomic information, and deviations from trend can generate economically meaningful dynamics, but also suffer from important limitations when used in isolation. The analysis emphasizes the regime-dependent nature of financial markets and the necessity of diversified signal extraction.</w:t>
      </w:r>
    </w:p>
    <w:p>
      <w:pPr>
        <w:pStyle w:val="BodyText"/>
      </w:pPr>
      <w:r>
        <w:t xml:space="preserve">These findings provide a natural transition to the performance evaluation conducted in Question 4, where average returns and Sharpe ratios are computed to assess whether the observed performance can be attributed to skill rather than luck.</w:t>
      </w:r>
    </w:p>
    <w:bookmarkEnd w:id="27"/>
    <w:bookmarkEnd w:id="28"/>
    <w:sectPr w:rsidR="00BD4EC2" w:rsidRPr="00BD4EC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ADCA949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FDA14D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77C7C2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594F2E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E66B31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A4A0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DDAD48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2367CF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C32E90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7AC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24693139" w:numId="1">
    <w:abstractNumId w:val="10"/>
  </w:num>
  <w:num w16cid:durableId="1210262218" w:numId="2">
    <w:abstractNumId w:val="9"/>
  </w:num>
  <w:num w16cid:durableId="1124689705" w:numId="3">
    <w:abstractNumId w:val="8"/>
  </w:num>
  <w:num w16cid:durableId="731544624" w:numId="4">
    <w:abstractNumId w:val="7"/>
  </w:num>
  <w:num w16cid:durableId="1488861656" w:numId="5">
    <w:abstractNumId w:val="6"/>
  </w:num>
  <w:num w16cid:durableId="477959411" w:numId="6">
    <w:abstractNumId w:val="5"/>
  </w:num>
  <w:num w16cid:durableId="1839954500" w:numId="7">
    <w:abstractNumId w:val="4"/>
  </w:num>
  <w:num w16cid:durableId="1867252605" w:numId="8">
    <w:abstractNumId w:val="3"/>
  </w:num>
  <w:num w16cid:durableId="321127133" w:numId="9">
    <w:abstractNumId w:val="2"/>
  </w:num>
  <w:num w16cid:durableId="1366759467" w:numId="10">
    <w:abstractNumId w:val="1"/>
  </w:num>
  <w:num w16cid:durableId="1472140782" w:numId="11">
    <w:abstractNumId w:val="0"/>
  </w:num>
  <w:num w16cid:durableId="67659437" w:numId="12">
    <w:abstractNumId w:val="8"/>
  </w:num>
  <w:num w16cid:durableId="1389105613" w:numId="13">
    <w:abstractNumId w:val="3"/>
  </w:num>
  <w:num w16cid:durableId="658114841" w:numId="14">
    <w:abstractNumId w:val="2"/>
  </w:num>
  <w:num w16cid:durableId="166673275" w:numId="15">
    <w:abstractNumId w:val="1"/>
  </w:num>
  <w:num w16cid:durableId="758989341" w:numId="16">
    <w:abstractNumId w:val="0"/>
  </w:num>
  <w:num w16cid:durableId="1604849100" w:numId="17">
    <w:abstractNumId w:val="8"/>
  </w:num>
  <w:num w16cid:durableId="1872376338" w:numId="18">
    <w:abstractNumId w:val="3"/>
  </w:num>
  <w:num w16cid:durableId="453255074" w:numId="19">
    <w:abstractNumId w:val="2"/>
  </w:num>
  <w:num w16cid:durableId="1519193340" w:numId="20">
    <w:abstractNumId w:val="1"/>
  </w:num>
  <w:num w16cid:durableId="64183687" w:numId="21">
    <w:abstractNumId w:val="0"/>
  </w:num>
  <w:num w16cid:durableId="1881046726" w:numId="22">
    <w:abstractNumId w:val="8"/>
  </w:num>
  <w:num w16cid:durableId="293291141" w:numId="23">
    <w:abstractNumId w:val="3"/>
  </w:num>
  <w:num w16cid:durableId="226040243" w:numId="24">
    <w:abstractNumId w:val="2"/>
  </w:num>
  <w:num w16cid:durableId="350768483" w:numId="25">
    <w:abstractNumId w:val="1"/>
  </w:num>
  <w:num w16cid:durableId="1284187935" w:numId="26">
    <w:abstractNumId w:val="0"/>
  </w:num>
  <w:num w16cid:durableId="567613641" w:numId="27">
    <w:abstractNumId w:val="8"/>
  </w:num>
  <w:num w16cid:durableId="1992830610" w:numId="28">
    <w:abstractNumId w:val="3"/>
  </w:num>
  <w:num w16cid:durableId="1277299286" w:numId="29">
    <w:abstractNumId w:val="2"/>
  </w:num>
  <w:num w16cid:durableId="1384132582" w:numId="30">
    <w:abstractNumId w:val="1"/>
  </w:num>
  <w:num w16cid:durableId="242884524" w:numId="31">
    <w:abstractNumId w:val="0"/>
  </w:num>
  <w:num w16cid:durableId="237254149" w:numId="32">
    <w:abstractNumId w:val="8"/>
  </w:num>
  <w:num w16cid:durableId="1249122975" w:numId="33">
    <w:abstractNumId w:val="3"/>
  </w:num>
  <w:num w16cid:durableId="561871531" w:numId="34">
    <w:abstractNumId w:val="2"/>
  </w:num>
  <w:num w16cid:durableId="601885692" w:numId="35">
    <w:abstractNumId w:val="1"/>
  </w:num>
  <w:num w16cid:durableId="721565719" w:numId="36">
    <w:abstractNumId w:val="0"/>
  </w:num>
  <w:num w16cid:durableId="561983021" w:numId="37">
    <w:abstractNumId w:val="8"/>
  </w:num>
  <w:num w16cid:durableId="382675534" w:numId="38">
    <w:abstractNumId w:val="3"/>
  </w:num>
  <w:num w16cid:durableId="1214853816" w:numId="39">
    <w:abstractNumId w:val="2"/>
  </w:num>
  <w:num w16cid:durableId="1796213138" w:numId="40">
    <w:abstractNumId w:val="1"/>
  </w:num>
  <w:num w16cid:durableId="397673562" w:numId="41">
    <w:abstractNumId w:val="0"/>
  </w:num>
  <w:num w16cid:durableId="1903372981" w:numId="42">
    <w:abstractNumId w:val="8"/>
  </w:num>
  <w:num w16cid:durableId="1587641893" w:numId="43">
    <w:abstractNumId w:val="3"/>
  </w:num>
  <w:num w16cid:durableId="985553758" w:numId="44">
    <w:abstractNumId w:val="2"/>
  </w:num>
  <w:num w16cid:durableId="2129279502" w:numId="45">
    <w:abstractNumId w:val="1"/>
  </w:num>
  <w:num w16cid:durableId="689642307" w:numId="46">
    <w:abstractNumId w:val="0"/>
  </w:num>
  <w:num w16cid:durableId="283316381" w:numId="47">
    <w:abstractNumId w:val="8"/>
  </w:num>
  <w:num w16cid:durableId="667514414" w:numId="48">
    <w:abstractNumId w:val="3"/>
  </w:num>
  <w:num w16cid:durableId="999625841" w:numId="49">
    <w:abstractNumId w:val="2"/>
  </w:num>
  <w:num w16cid:durableId="631595333" w:numId="50">
    <w:abstractNumId w:val="1"/>
  </w:num>
  <w:num w16cid:durableId="409087350" w:numId="51">
    <w:abstractNumId w:val="0"/>
  </w:num>
  <w:num w16cid:durableId="1417166918" w:numId="52">
    <w:abstractNumId w:val="8"/>
  </w:num>
  <w:num w16cid:durableId="1397167355" w:numId="53">
    <w:abstractNumId w:val="3"/>
  </w:num>
  <w:num w16cid:durableId="359428694" w:numId="54">
    <w:abstractNumId w:val="2"/>
  </w:num>
  <w:num w16cid:durableId="1877965538" w:numId="55">
    <w:abstractNumId w:val="1"/>
  </w:num>
  <w:num w16cid:durableId="1690907755" w:numId="56">
    <w:abstractNumId w:val="0"/>
  </w:num>
  <w:num w16cid:durableId="1847744294" w:numId="57">
    <w:abstractNumId w:val="8"/>
  </w:num>
  <w:num w16cid:durableId="625551729" w:numId="58">
    <w:abstractNumId w:val="3"/>
  </w:num>
  <w:num w16cid:durableId="80106395" w:numId="59">
    <w:abstractNumId w:val="2"/>
  </w:num>
  <w:num w16cid:durableId="680817095" w:numId="60">
    <w:abstractNumId w:val="1"/>
  </w:num>
  <w:num w16cid:durableId="1696883699" w:numId="61">
    <w:abstractNumId w:val="0"/>
  </w:num>
  <w:num w16cid:durableId="764963967" w:numId="62">
    <w:abstractNumId w:val="8"/>
  </w:num>
  <w:num w16cid:durableId="1771704117" w:numId="63">
    <w:abstractNumId w:val="3"/>
  </w:num>
  <w:num w16cid:durableId="1330250043" w:numId="64">
    <w:abstractNumId w:val="2"/>
  </w:num>
  <w:num w16cid:durableId="82340849" w:numId="65">
    <w:abstractNumId w:val="1"/>
  </w:num>
  <w:num w16cid:durableId="1166436873" w:numId="66">
    <w:abstractNumId w:val="0"/>
  </w:num>
  <w:num w16cid:durableId="1345087903" w:numId="67">
    <w:abstractNumId w:val="8"/>
  </w:num>
  <w:num w16cid:durableId="1290475426" w:numId="68">
    <w:abstractNumId w:val="3"/>
  </w:num>
  <w:num w16cid:durableId="121963508" w:numId="69">
    <w:abstractNumId w:val="2"/>
  </w:num>
  <w:num w16cid:durableId="1631592308" w:numId="70">
    <w:abstractNumId w:val="1"/>
  </w:num>
  <w:num w16cid:durableId="1701979659" w:numId="71">
    <w:abstractNumId w:val="0"/>
  </w:num>
  <w:num w16cid:durableId="688723813" w:numId="72">
    <w:abstractNumId w:val="8"/>
  </w:num>
  <w:num w16cid:durableId="513108775" w:numId="73">
    <w:abstractNumId w:val="3"/>
  </w:num>
  <w:num w16cid:durableId="504173735" w:numId="74">
    <w:abstractNumId w:val="2"/>
  </w:num>
  <w:num w16cid:durableId="25448909" w:numId="75">
    <w:abstractNumId w:val="1"/>
  </w:num>
  <w:num w16cid:durableId="601105827" w:numId="76">
    <w:abstractNumId w:val="0"/>
  </w:num>
  <w:num w16cid:durableId="58747902" w:numId="77">
    <w:abstractNumId w:val="8"/>
  </w:num>
  <w:num w16cid:durableId="1772125209" w:numId="78">
    <w:abstractNumId w:val="3"/>
  </w:num>
  <w:num w16cid:durableId="1947079673" w:numId="79">
    <w:abstractNumId w:val="2"/>
  </w:num>
  <w:num w16cid:durableId="124203876" w:numId="80">
    <w:abstractNumId w:val="1"/>
  </w:num>
  <w:num w16cid:durableId="535655405" w:numId="81">
    <w:abstractNumId w:val="0"/>
  </w:num>
  <w:num w16cid:durableId="1783576686" w:numId="82">
    <w:abstractNumId w:val="8"/>
  </w:num>
  <w:num w16cid:durableId="248467469" w:numId="83">
    <w:abstractNumId w:val="3"/>
  </w:num>
  <w:num w16cid:durableId="2092382446" w:numId="84">
    <w:abstractNumId w:val="2"/>
  </w:num>
  <w:num w16cid:durableId="1056666988" w:numId="85">
    <w:abstractNumId w:val="1"/>
  </w:num>
  <w:num w16cid:durableId="225652704" w:numId="86">
    <w:abstractNumId w:val="0"/>
  </w:num>
  <w:num w16cid:durableId="2050718763" w:numId="87">
    <w:abstractNumId w:val="8"/>
  </w:num>
  <w:num w16cid:durableId="143275641" w:numId="88">
    <w:abstractNumId w:val="3"/>
  </w:num>
  <w:num w16cid:durableId="725178082" w:numId="89">
    <w:abstractNumId w:val="2"/>
  </w:num>
  <w:num w16cid:durableId="362362474" w:numId="90">
    <w:abstractNumId w:val="1"/>
  </w:num>
  <w:num w16cid:durableId="1589969554" w:numId="91">
    <w:abstractNumId w:val="0"/>
  </w:num>
  <w:num w16cid:durableId="1769932609" w:numId="92">
    <w:abstractNumId w:val="8"/>
  </w:num>
  <w:num w16cid:durableId="309555984" w:numId="93">
    <w:abstractNumId w:val="3"/>
  </w:num>
  <w:num w16cid:durableId="1299144529" w:numId="94">
    <w:abstractNumId w:val="2"/>
  </w:num>
  <w:num w16cid:durableId="1175539660" w:numId="95">
    <w:abstractNumId w:val="1"/>
  </w:num>
  <w:num w16cid:durableId="389964036" w:numId="96">
    <w:abstractNumId w:val="0"/>
  </w:num>
  <w:num w16cid:durableId="208735691" w:numId="97">
    <w:abstractNumId w:val="8"/>
  </w:num>
  <w:num w16cid:durableId="1525972922" w:numId="98">
    <w:abstractNumId w:val="3"/>
  </w:num>
  <w:num w16cid:durableId="814568665" w:numId="99">
    <w:abstractNumId w:val="2"/>
  </w:num>
  <w:num w16cid:durableId="774911176" w:numId="100">
    <w:abstractNumId w:val="1"/>
  </w:num>
  <w:num w16cid:durableId="1796412552" w:numId="101">
    <w:abstractNumId w:val="0"/>
  </w:num>
  <w:num w16cid:durableId="889847875" w:numId="102">
    <w:abstractNumId w:val="8"/>
  </w:num>
  <w:num w16cid:durableId="114912344" w:numId="103">
    <w:abstractNumId w:val="3"/>
  </w:num>
  <w:num w16cid:durableId="1480876344" w:numId="104">
    <w:abstractNumId w:val="2"/>
  </w:num>
  <w:num w16cid:durableId="583076578" w:numId="105">
    <w:abstractNumId w:val="1"/>
  </w:num>
  <w:num w16cid:durableId="1874876203" w:numId="106">
    <w:abstractNumId w:val="0"/>
  </w:num>
  <w:num w16cid:durableId="1992560244" w:numId="107">
    <w:abstractNumId w:val="8"/>
  </w:num>
  <w:num w16cid:durableId="598025973" w:numId="108">
    <w:abstractNumId w:val="3"/>
  </w:num>
  <w:num w16cid:durableId="405107081" w:numId="109">
    <w:abstractNumId w:val="2"/>
  </w:num>
  <w:num w16cid:durableId="2025549233" w:numId="110">
    <w:abstractNumId w:val="1"/>
  </w:num>
  <w:num w16cid:durableId="1669216078" w:numId="111">
    <w:abstractNumId w:val="0"/>
  </w:num>
  <w:num w16cid:durableId="836770199" w:numId="112">
    <w:abstractNumId w:val="8"/>
  </w:num>
  <w:num w16cid:durableId="1622150131" w:numId="113">
    <w:abstractNumId w:val="3"/>
  </w:num>
  <w:num w16cid:durableId="1988823300" w:numId="114">
    <w:abstractNumId w:val="2"/>
  </w:num>
  <w:num w16cid:durableId="1082601273" w:numId="115">
    <w:abstractNumId w:val="1"/>
  </w:num>
  <w:num w16cid:durableId="1370178083" w:numId="116">
    <w:abstractNumId w:val="0"/>
  </w:num>
  <w:num w16cid:durableId="580679335" w:numId="117">
    <w:abstractNumId w:val="8"/>
  </w:num>
  <w:num w16cid:durableId="973103423" w:numId="118">
    <w:abstractNumId w:val="3"/>
  </w:num>
  <w:num w16cid:durableId="881861565" w:numId="119">
    <w:abstractNumId w:val="2"/>
  </w:num>
  <w:num w16cid:durableId="750736368" w:numId="120">
    <w:abstractNumId w:val="1"/>
  </w:num>
  <w:num w16cid:durableId="1373387839" w:numId="121">
    <w:abstractNumId w:val="0"/>
  </w:num>
  <w:num w16cid:durableId="907685908" w:numId="122">
    <w:abstractNumId w:val="8"/>
  </w:num>
  <w:num w16cid:durableId="620501486" w:numId="123">
    <w:abstractNumId w:val="3"/>
  </w:num>
  <w:num w16cid:durableId="446043719" w:numId="124">
    <w:abstractNumId w:val="2"/>
  </w:num>
  <w:num w16cid:durableId="1033771088" w:numId="125">
    <w:abstractNumId w:val="1"/>
  </w:num>
  <w:num w16cid:durableId="1235050304" w:numId="126">
    <w:abstractNumId w:val="0"/>
  </w:num>
  <w:num w16cid:durableId="199902741" w:numId="127">
    <w:abstractNumId w:val="8"/>
  </w:num>
  <w:num w16cid:durableId="1046371651" w:numId="128">
    <w:abstractNumId w:val="3"/>
  </w:num>
  <w:num w16cid:durableId="1445611969" w:numId="129">
    <w:abstractNumId w:val="2"/>
  </w:num>
  <w:num w16cid:durableId="1606494288" w:numId="130">
    <w:abstractNumId w:val="1"/>
  </w:num>
  <w:num w16cid:durableId="1125854417" w:numId="131">
    <w:abstractNumId w:val="0"/>
  </w:num>
  <w:num w16cid:durableId="1355302728" w:numId="132">
    <w:abstractNumId w:val="8"/>
  </w:num>
  <w:num w16cid:durableId="950279301" w:numId="133">
    <w:abstractNumId w:val="3"/>
  </w:num>
  <w:num w16cid:durableId="2051565447" w:numId="134">
    <w:abstractNumId w:val="2"/>
  </w:num>
  <w:num w16cid:durableId="696543370" w:numId="135">
    <w:abstractNumId w:val="1"/>
  </w:num>
  <w:num w16cid:durableId="1353845816" w:numId="136">
    <w:abstractNumId w:val="0"/>
  </w:num>
  <w:num w16cid:durableId="1129593015" w:numId="137">
    <w:abstractNumId w:val="8"/>
  </w:num>
  <w:num w16cid:durableId="1455372480" w:numId="138">
    <w:abstractNumId w:val="3"/>
  </w:num>
  <w:num w16cid:durableId="238489024" w:numId="139">
    <w:abstractNumId w:val="2"/>
  </w:num>
  <w:num w16cid:durableId="262349791" w:numId="140">
    <w:abstractNumId w:val="1"/>
  </w:num>
  <w:num w16cid:durableId="1150752914" w:numId="141">
    <w:abstractNumId w:val="0"/>
  </w:num>
  <w:num w16cid:durableId="1765178239" w:numId="142">
    <w:abstractNumId w:val="8"/>
  </w:num>
  <w:num w16cid:durableId="1032458695" w:numId="143">
    <w:abstractNumId w:val="3"/>
  </w:num>
  <w:num w16cid:durableId="1128166976" w:numId="144">
    <w:abstractNumId w:val="2"/>
  </w:num>
  <w:num w16cid:durableId="1894148799" w:numId="145">
    <w:abstractNumId w:val="1"/>
  </w:num>
  <w:num w16cid:durableId="1224215055" w:numId="146">
    <w:abstractNumId w:val="0"/>
  </w:num>
  <w:num w16cid:durableId="884097991" w:numId="147">
    <w:abstractNumId w:val="8"/>
  </w:num>
  <w:num w16cid:durableId="1658193880" w:numId="148">
    <w:abstractNumId w:val="3"/>
  </w:num>
  <w:num w16cid:durableId="264384023" w:numId="149">
    <w:abstractNumId w:val="2"/>
  </w:num>
  <w:num w16cid:durableId="2030640676" w:numId="150">
    <w:abstractNumId w:val="1"/>
  </w:num>
  <w:num w16cid:durableId="1764300915" w:numId="151">
    <w:abstractNumId w:val="0"/>
  </w:num>
  <w:num w16cid:durableId="274868847" w:numId="152">
    <w:abstractNumId w:val="8"/>
  </w:num>
  <w:num w16cid:durableId="1963725191" w:numId="153">
    <w:abstractNumId w:val="3"/>
  </w:num>
  <w:num w16cid:durableId="47382796" w:numId="154">
    <w:abstractNumId w:val="2"/>
  </w:num>
  <w:num w16cid:durableId="834803624" w:numId="155">
    <w:abstractNumId w:val="1"/>
  </w:num>
  <w:num w16cid:durableId="1907836433" w:numId="156">
    <w:abstractNumId w:val="0"/>
  </w:num>
  <w:num w16cid:durableId="335694466" w:numId="157">
    <w:abstractNumId w:val="8"/>
  </w:num>
  <w:num w16cid:durableId="1413353708" w:numId="158">
    <w:abstractNumId w:val="3"/>
  </w:num>
  <w:num w16cid:durableId="2017221835" w:numId="159">
    <w:abstractNumId w:val="2"/>
  </w:num>
  <w:num w16cid:durableId="2093504836" w:numId="160">
    <w:abstractNumId w:val="1"/>
  </w:num>
  <w:num w16cid:durableId="20983660" w:numId="161">
    <w:abstractNumId w:val="0"/>
  </w:num>
  <w:num w16cid:durableId="2130083049" w:numId="162">
    <w:abstractNumId w:val="8"/>
  </w:num>
  <w:num w16cid:durableId="2117209151" w:numId="163">
    <w:abstractNumId w:val="3"/>
  </w:num>
  <w:num w16cid:durableId="2133357024" w:numId="164">
    <w:abstractNumId w:val="2"/>
  </w:num>
  <w:num w16cid:durableId="859854129" w:numId="165">
    <w:abstractNumId w:val="1"/>
  </w:num>
  <w:num w16cid:durableId="2034574430" w:numId="166">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1" w:clearFormatting="0" w:customStyles="0" w:directFormattingOnNumbering="1" w:directFormattingOnParagraphs="1" w:directFormattingOnRuns="1" w:directFormattingOnTables="0" w:headingStyles="1" w:latentStyles="1" w:numberingStyles="0" w:stylesInUse="0" w:tableStyles="0" w:top3HeadingStyles="0" w:val="872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61129A"/>
    <w:rsid w:val="00654138"/>
    <w:rsid w:val="007803D7"/>
    <w:rsid w:val="008245C2"/>
    <w:rsid w:val="008E4D7E"/>
    <w:rsid w:val="009257D8"/>
    <w:rsid w:val="009E0377"/>
    <w:rsid w:val="00BD4EC2"/>
    <w:rsid w:val="00BF5158"/>
    <w:rsid w:val="00C41EE7"/>
    <w:rsid w:val="00C46DD1"/>
    <w:rsid w:val="00C666BF"/>
    <w:rsid w:val="00D80582"/>
    <w:rsid w:val="00E054EE"/>
    <w:rsid w:val="00E05716"/>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EF"/>
  </w:style>
  <w:style w:styleId="Heading1" w:type="paragraph">
    <w:name w:val="heading 1"/>
    <w:basedOn w:val="Normal"/>
    <w:next w:val="BodyText"/>
    <w:link w:val="Heading1Char"/>
    <w:uiPriority w:val="9"/>
    <w:qFormat/>
    <w:rsid w:val="0061129A"/>
    <w:pPr>
      <w:keepNext/>
      <w:keepLines/>
      <w:spacing w:after="80" w:before="360"/>
      <w:outlineLvl w:val="0"/>
    </w:pPr>
    <w:rPr>
      <w:rFonts w:ascii="Times New Roman" w:cstheme="majorBidi" w:eastAsiaTheme="majorEastAsia"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61129A"/>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61129A"/>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61129A"/>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61129A"/>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61129A"/>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61129A"/>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61129A"/>
    <w:pPr>
      <w:keepNext/>
      <w:keepLines/>
      <w:spacing w:after="0"/>
      <w:outlineLvl w:val="8"/>
    </w:pPr>
    <w:rPr>
      <w:rFonts w:ascii="Times New Roman" w:cstheme="majorBidi" w:eastAsiaTheme="majorEastAsia" w:hAnsi="Times New Roman"/>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80582"/>
    <w:pPr>
      <w:spacing w:after="180" w:before="180"/>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E054EE"/>
    <w:pPr>
      <w:spacing w:after="80"/>
      <w:contextualSpacing/>
      <w:jc w:val="center"/>
    </w:pPr>
    <w:rPr>
      <w:rFonts w:ascii="Times New Roman" w:cstheme="majorBidi" w:eastAsiaTheme="majorEastAsia" w:hAnsi="Times New Roman"/>
      <w:spacing w:val="-10"/>
      <w:kern w:val="28"/>
      <w:sz w:val="56"/>
      <w:szCs w:val="56"/>
    </w:rPr>
  </w:style>
  <w:style w:customStyle="1" w:styleId="TitleChar" w:type="character">
    <w:name w:val="Title Char"/>
    <w:basedOn w:val="DefaultParagraphFont"/>
    <w:link w:val="Title"/>
    <w:uiPriority w:val="10"/>
    <w:rsid w:val="00E054EE"/>
    <w:rPr>
      <w:rFonts w:ascii="Times New Roman" w:cstheme="majorBidi" w:eastAsiaTheme="majorEastAsia" w:hAnsi="Times New Roman"/>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autoRedefine/>
    <w:qFormat/>
    <w:rsid w:val="00E05716"/>
    <w:pPr>
      <w:keepNext/>
      <w:keepLines/>
      <w:jc w:val="center"/>
    </w:pPr>
    <w:rPr>
      <w:rFonts w:ascii="Times New Roman" w:hAnsi="Times New Roman"/>
    </w:rPr>
  </w:style>
  <w:style w:styleId="Date" w:type="paragraph">
    <w:name w:val="Date"/>
    <w:next w:val="BodyText"/>
    <w:qFormat/>
    <w:rsid w:val="0061129A"/>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61129A"/>
    <w:pPr>
      <w:keepNext/>
      <w:keepLines/>
      <w:spacing w:after="300" w:before="100"/>
    </w:pPr>
    <w:rPr>
      <w:rFonts w:ascii="Times New Roman" w:hAnsi="Times New Roman"/>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61129A"/>
    <w:rPr>
      <w:rFonts w:ascii="Times New Roman" w:cstheme="majorBidi" w:eastAsiaTheme="majorEastAsia"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61129A"/>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61129A"/>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61129A"/>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61129A"/>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61129A"/>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61129A"/>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61129A"/>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2069BA"/>
    <w:rPr>
      <w:rFonts w:ascii="Times New Roman" w:hAnsi="Times New Roman"/>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069BA"/>
    <w:pPr>
      <w:keepNext/>
      <w:keepLines/>
      <w:spacing w:after="0"/>
    </w:pPr>
    <w:rPr>
      <w:rFonts w:ascii="Times New Roman" w:hAnsi="Times New Roman"/>
      <w:b/>
    </w:rPr>
  </w:style>
  <w:style w:customStyle="1" w:styleId="Definition" w:type="paragraph">
    <w:name w:val="Definition"/>
    <w:basedOn w:val="Normal"/>
    <w:rsid w:val="002069BA"/>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2069BA"/>
    <w:rPr>
      <w:rFonts w:ascii="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BodyTextChar" w:type="character">
    <w:name w:val="Body Text Char"/>
    <w:basedOn w:val="DefaultParagraphFont"/>
    <w:link w:val="BodyText"/>
    <w:rsid w:val="005926EF"/>
    <w:rPr>
      <w:rFonts w:ascii="Times New Roman" w:hAnsi="Times New Roman"/>
    </w:rPr>
  </w:style>
  <w:style w:customStyle="1" w:styleId="StyleHeading2TimesNewRoman" w:type="paragraph">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