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2F75B5"/>
          <w:sz w:val="28"/>
        </w:rPr>
        <w:t>INFORME DE CONTEXTO Y PLAN DE DESARROLLO</w:t>
      </w:r>
    </w:p>
    <w:p>
      <w:pPr>
        <w:spacing w:before="360"/>
        <w:jc w:val="center"/>
      </w:pPr>
      <w:r>
        <w:rPr>
          <w:b/>
          <w:color w:val="17365D"/>
          <w:sz w:val="56"/>
        </w:rPr>
        <w:t>SeedCare-RAG LoRA</w:t>
      </w:r>
    </w:p>
    <w:p>
      <w:pPr>
        <w:spacing w:before="160"/>
        <w:jc w:val="center"/>
      </w:pPr>
      <w:r>
        <w:rPr>
          <w:sz w:val="26"/>
        </w:rPr>
        <w:t>Sistema multimodal para clasificar defectos visibles en semillas de soja, recuperar evidencia técnica mediante RAG y ampliar experimentalmente los datos de entrenamiento con Stable Diffusion 1.5 ajustado con LoRA</w:t>
      </w:r>
    </w:p>
    <w:p>
      <w:pPr>
        <w:spacing w:before="700"/>
        <w:jc w:val="center"/>
      </w:pPr>
      <w:r>
        <w:rPr>
          <w:b/>
        </w:rPr>
        <w:t>Curso: ISIA-119 · Modelos Generativos de IA</w:t>
        <w:br/>
      </w:r>
      <w:r>
        <w:t>Equipo: Grupo 1</w:t>
        <w:br/>
      </w:r>
      <w:r>
        <w:t>Integrantes: Sebastián Preciado Peralta, Carlos Mezones Burgos y Luis Reyes Guerrero</w:t>
        <w:br/>
      </w:r>
      <w:r>
        <w:t>Versión del documento: 2.0 · 12/07/2026</w:t>
      </w:r>
    </w:p>
    <w:p>
      <w:pPr>
        <w:spacing w:before="1300"/>
        <w:jc w:val="center"/>
      </w:pPr>
      <w:r>
        <w:rPr>
          <w:i/>
          <w:sz w:val="18"/>
        </w:rPr>
        <w:t>Documento para coordinación del equipo, desarrollo técnico, GitHub, Codex, entrenamiento, evaluación y sustentación.</w:t>
      </w:r>
    </w:p>
    <w:p>
      <w:r>
        <w:br w:type="page"/>
      </w:r>
    </w:p>
    <w:p>
      <w:pPr>
        <w:pStyle w:val="Heading1"/>
        <w:spacing w:before="160" w:after="80"/>
      </w:pPr>
      <w:r>
        <w:t>1. Resumen ejecutivo</w:t>
      </w:r>
    </w:p>
    <w:p>
      <w:pPr>
        <w:spacing w:after="100" w:line="259" w:lineRule="auto"/>
      </w:pPr>
      <w:r>
        <w:t>El proyecto desarrolla un sistema que recibe una imagen individual de una semilla de soja, clasifica el defecto visible en una de cinco categorías definidas por un dataset público y utiliza una arquitectura RAG para recuperar evidencia técnica relacionada. El resultado final será un informe preliminar con categoría estimada, confianza, fragmentos recuperados, posibles causas documentadas, prevención, manejo, fuentes y limitaciones.</w:t>
      </w:r>
    </w:p>
    <w:p>
      <w:pPr>
        <w:spacing w:after="100" w:line="259" w:lineRule="auto"/>
      </w:pPr>
      <w:r>
        <w:t>El requisito de entrenamiento se cumple mediante dos procesos reales: el fine-tuning de un clasificador visual preentrenado y el ajuste de Stable Diffusion 1.5 mediante LoRA. Además, se realizará un experimento comparativo para medir si las imágenes sintéticas aceptadas mejoran el clasificador. El RAG aporta evidencia actualizable y fundamentación; no reemplaza el entrenamiento.</w:t>
      </w:r>
    </w:p>
    <w:p>
      <w:pPr>
        <w:pStyle w:val="Heading1"/>
        <w:spacing w:before="160" w:after="80"/>
      </w:pPr>
      <w:r>
        <w:t>2. Estado real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52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Estado actual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Repositorio y estructura</w:t>
            </w:r>
          </w:p>
        </w:tc>
        <w:tc>
          <w:tcPr>
            <w:tcW w:type="dxa" w:w="65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Preparados y reorganizados en este paquete.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Dataset de imágenes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descargado todavía.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Corpus documental del RAG</w:t>
            </w:r>
          </w:p>
        </w:tc>
        <w:tc>
          <w:tcPr>
            <w:tcW w:type="dxa" w:w="65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No recopilado todavía.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Clasificador visual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entrenado.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Stable Diffusion 1.5 + LoRA</w:t>
            </w:r>
          </w:p>
        </w:tc>
        <w:tc>
          <w:tcPr>
            <w:tcW w:type="dxa" w:w="65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No entrenado.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 vectorial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construida.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Aplicación Streamlit</w:t>
            </w:r>
          </w:p>
        </w:tc>
        <w:tc>
          <w:tcPr>
            <w:tcW w:type="dxa" w:w="65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Interfaz introductoria, sin integración del modelo.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Informe IEEE final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Pendiente; este documento funciona como plan y contexto.</w:t>
            </w:r>
          </w:p>
        </w:tc>
      </w:tr>
    </w:tbl>
    <w:p/>
    <w:p>
      <w:pPr>
        <w:spacing w:after="100" w:line="259" w:lineRule="auto"/>
      </w:pPr>
      <w:r>
        <w:t>Por ello, el siguiente paso no es aumentar ni entrenar: primero debe descargarse, registrarse y auditarse el dataset.</w:t>
      </w:r>
    </w:p>
    <w:p>
      <w:pPr>
        <w:pStyle w:val="Heading1"/>
        <w:spacing w:before="160" w:after="80"/>
      </w:pPr>
      <w:r>
        <w:t>3. Título final y definición</w:t>
      </w:r>
    </w:p>
    <w:p>
      <w:pPr>
        <w:spacing w:after="100" w:line="259" w:lineRule="auto"/>
      </w:pPr>
      <w:r>
        <w:t>Título final: SeedCare-RAG LoRA: Sistema multimodal para clasificar defectos visibles en semillas de soja, recuperar evidencia técnica mediante RAG y ampliar experimentalmente los datos de entrenamiento con Stable Diffusion 1.5 ajustado con LoRA.</w:t>
      </w:r>
    </w:p>
    <w:p>
      <w:pPr>
        <w:spacing w:after="100" w:line="259" w:lineRule="auto"/>
      </w:pPr>
      <w:r>
        <w:t>Definición puntual: la aplicación recibe una fotografía de una semilla de soja y usa un modelo visual ajustado para clasificarla como intacta, manchada, inmadura, rota o con la cubierta dañada. El resultado alimenta una consulta al RAG, que recupera documentos sobre control de calidad, posibles causas, prevención, almacenamiento y manejo. Un generador de texto organiza la evidencia en un informe preliminar con fuentes y limitaciones. Stable Diffusion 1.5 se ajusta mediante LoRA para generar imágenes sintéticas controladas que se revisan antes de incorporarse únicamente al conjunto de entrenamiento.</w:t>
      </w:r>
    </w:p>
    <w:p>
      <w:pPr>
        <w:pStyle w:val="Heading1"/>
        <w:spacing w:before="160" w:after="80"/>
      </w:pPr>
      <w:r>
        <w:t>4. Problema empresarial y valor</w:t>
      </w:r>
    </w:p>
    <w:p>
      <w:pPr>
        <w:spacing w:after="100" w:line="259" w:lineRule="auto"/>
      </w:pPr>
      <w:r>
        <w:t>Una empresa de control de calidad o comercialización de semillas necesita revisar muestras visuales, organizar información técnica dispersa y producir reportes consistentes. El sistema no reemplaza a un especialista; sirve como herramienta de apoyo para priorizar revisiones, consultar antecedentes y estandarizar informes preliminares.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Necesidad</w:t>
            </w:r>
          </w:p>
        </w:tc>
        <w:tc>
          <w:tcPr>
            <w:tcW w:type="dxa" w:w="606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Aporte del sistema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Clasificación visual repetitiva</w:t>
            </w:r>
          </w:p>
        </w:tc>
        <w:tc>
          <w:tcPr>
            <w:tcW w:type="dxa" w:w="606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Modelo entrenado con cinco categorías observables.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Información técnica dispersa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RAG con artículos, manuales y fichas registradas.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Informes inconsistentes</w:t>
            </w:r>
          </w:p>
        </w:tc>
        <w:tc>
          <w:tcPr>
            <w:tcW w:type="dxa" w:w="606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Plantilla generativa con evidencia y fuentes.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Demostración de entrenamiento generativo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LoRA sobre Stable Diffusion 1.5.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Evaluación objetiva</w:t>
            </w:r>
          </w:p>
        </w:tc>
        <w:tc>
          <w:tcPr>
            <w:tcW w:type="dxa" w:w="606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Métricas de clasificación, generación, recuperación y sistema completo.</w:t>
            </w:r>
          </w:p>
        </w:tc>
      </w:tr>
    </w:tbl>
    <w:p/>
    <w:p>
      <w:pPr>
        <w:pStyle w:val="Heading1"/>
        <w:spacing w:before="160" w:after="80"/>
      </w:pPr>
      <w:r>
        <w:t>5. Dataset principal previsto</w:t>
      </w:r>
    </w:p>
    <w:p>
      <w:pPr>
        <w:spacing w:after="100" w:line="259" w:lineRule="auto"/>
      </w:pPr>
      <w:r>
        <w:t>Se utilizará el dataset público Soybean Seeds, versión 6, publicado en Mendeley Data. La publicación describe 5513 imágenes individuales distribuidas en cinco categorías, con más de 1000 imágenes por categoría y licencia CC BY 4.0.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71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Etiqueta original</w:t>
            </w:r>
          </w:p>
        </w:tc>
        <w:tc>
          <w:tcPr>
            <w:tcW w:type="dxa" w:w="4139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Interpretación en el proyecto</w:t>
            </w:r>
          </w:p>
        </w:tc>
        <w:tc>
          <w:tcPr>
            <w:tcW w:type="dxa" w:w="3515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Precaución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intact</w:t>
            </w:r>
          </w:p>
        </w:tc>
        <w:tc>
          <w:tcPr>
            <w:tcW w:type="dxa" w:w="4139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Semilla intacta o sin defecto visible.</w:t>
            </w:r>
          </w:p>
        </w:tc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No garantiza viabilidad o calidad interna.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spotted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Semilla con manchas visibles.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confirma hongos ni enfermedad específica.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immature</w:t>
            </w:r>
          </w:p>
        </w:tc>
        <w:tc>
          <w:tcPr>
            <w:tcW w:type="dxa" w:w="4139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Semilla inmadura o con desarrollo incompleto.</w:t>
            </w:r>
          </w:p>
        </w:tc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Clasificación visual, no fisiológica completa.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broken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Rotura o fractura visible.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Daño físico observable.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skin_damaged</w:t>
            </w:r>
          </w:p>
        </w:tc>
        <w:tc>
          <w:tcPr>
            <w:tcW w:type="dxa" w:w="4139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Daño visible en la cubierta.</w:t>
            </w:r>
          </w:p>
        </w:tc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No determina automáticamente la causa.</w:t>
            </w:r>
          </w:p>
        </w:tc>
      </w:tr>
    </w:tbl>
    <w:p/>
    <w:p>
      <w:pPr>
        <w:spacing w:after="100" w:line="259" w:lineRule="auto"/>
      </w:pPr>
      <w:r>
        <w:t>Las etiquetas originales se conservarán para el entrenamiento. Los grupos “sana”, “física”, “morfológica” o “anomalía visible” se utilizarán para explicar resultados y construir consultas, no para reemplazar las clases originales.</w:t>
      </w:r>
    </w:p>
    <w:p>
      <w:pPr>
        <w:pStyle w:val="Heading1"/>
        <w:spacing w:before="160" w:after="80"/>
      </w:pPr>
      <w:r>
        <w:t>6. Arquitectura final</w:t>
      </w:r>
    </w:p>
    <w:p>
      <w:pPr>
        <w:spacing w:after="100" w:line="259" w:lineRule="auto"/>
      </w:pPr>
      <w:r>
        <w:t>Flujo principal:</w:t>
      </w:r>
    </w:p>
    <w:p>
      <w:pPr>
        <w:spacing w:after="40"/>
        <w:ind w:left="198" w:hanging="198"/>
      </w:pPr>
      <w:r>
        <w:rPr>
          <w:b/>
        </w:rPr>
        <w:t xml:space="preserve">1. </w:t>
      </w:r>
      <w:r>
        <w:t>El usuario carga una fotografía.</w:t>
      </w:r>
    </w:p>
    <w:p>
      <w:pPr>
        <w:spacing w:after="40"/>
        <w:ind w:left="198" w:hanging="198"/>
      </w:pPr>
      <w:r>
        <w:rPr>
          <w:b/>
        </w:rPr>
        <w:t xml:space="preserve">2. </w:t>
      </w:r>
      <w:r>
        <w:t>El módulo visual preprocesa la imagen.</w:t>
      </w:r>
    </w:p>
    <w:p>
      <w:pPr>
        <w:spacing w:after="40"/>
        <w:ind w:left="198" w:hanging="198"/>
      </w:pPr>
      <w:r>
        <w:rPr>
          <w:b/>
        </w:rPr>
        <w:t xml:space="preserve">3. </w:t>
      </w:r>
      <w:r>
        <w:t>El clasificador devuelve categoría y confianza.</w:t>
      </w:r>
    </w:p>
    <w:p>
      <w:pPr>
        <w:spacing w:after="40"/>
        <w:ind w:left="198" w:hanging="198"/>
      </w:pPr>
      <w:r>
        <w:rPr>
          <w:b/>
        </w:rPr>
        <w:t xml:space="preserve">4. </w:t>
      </w:r>
      <w:r>
        <w:t>El sistema construye una consulta técnica basada en la categoría y observaciones.</w:t>
      </w:r>
    </w:p>
    <w:p>
      <w:pPr>
        <w:spacing w:after="40"/>
        <w:ind w:left="198" w:hanging="198"/>
      </w:pPr>
      <w:r>
        <w:rPr>
          <w:b/>
        </w:rPr>
        <w:t xml:space="preserve">5. </w:t>
      </w:r>
      <w:r>
        <w:t>El RAG recupera fragmentos y metadatos de documentos registrados.</w:t>
      </w:r>
    </w:p>
    <w:p>
      <w:pPr>
        <w:spacing w:after="40"/>
        <w:ind w:left="198" w:hanging="198"/>
      </w:pPr>
      <w:r>
        <w:rPr>
          <w:b/>
        </w:rPr>
        <w:t xml:space="preserve">6. </w:t>
      </w:r>
      <w:r>
        <w:t>El generador redacta un informe utilizando únicamente evidencia recuperada.</w:t>
      </w:r>
    </w:p>
    <w:p>
      <w:pPr>
        <w:spacing w:after="40"/>
        <w:ind w:left="198" w:hanging="198"/>
      </w:pPr>
      <w:r>
        <w:rPr>
          <w:b/>
        </w:rPr>
        <w:t xml:space="preserve">7. </w:t>
      </w:r>
      <w:r>
        <w:t>La interfaz muestra predicción, fuentes, limitaciones y advertencia de revisión humana.</w:t>
      </w:r>
    </w:p>
    <w:p>
      <w:pPr>
        <w:spacing w:after="100" w:line="259" w:lineRule="auto"/>
      </w:pPr>
      <w:r>
        <w:t>Flujo experimental LoRA: imágenes reales y captions → entrenamiento SD 1.5 + LoRA → imágenes sintéticas pendientes de revisión → aprobación humana → incorporación únicamente a train → reentrenamiento del clasificador → comparación de métricas.</w:t>
      </w:r>
    </w:p>
    <w:p>
      <w:pPr>
        <w:pStyle w:val="Heading1"/>
        <w:spacing w:before="160" w:after="80"/>
      </w:pPr>
      <w:r>
        <w:t>7. Dónde se cumple el entrenamiento solicitado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061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Tipo de trabajo</w:t>
            </w:r>
          </w:p>
        </w:tc>
        <w:tc>
          <w:tcPr>
            <w:tcW w:type="dxa" w:w="4535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Clasificador visual</w:t>
            </w:r>
          </w:p>
        </w:tc>
        <w:tc>
          <w:tcPr>
            <w:tcW w:type="dxa" w:w="3061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Fine-tuning/transferencia de aprendizaje sobre ResNet18 o EfficientNet-B0.</w:t>
            </w:r>
          </w:p>
        </w:tc>
        <w:tc>
          <w:tcPr>
            <w:tcW w:type="dxa" w:w="453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Código, configuración, pérdidas, checkpoint, macro-F1, F1 por clase y matriz de confusión.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Diffusion 1.5 + LoRA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Entrenamiento de matrices LoRA añadidas al modelo base congelado.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Captions, parámetros, pasos, pérdida, adaptador .safetensors y comparación de imágenes.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Clasificador con sintéticos</w:t>
            </w:r>
          </w:p>
        </w:tc>
        <w:tc>
          <w:tcPr>
            <w:tcW w:type="dxa" w:w="3061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Segundo entrenamiento controlado usando sintéticos aprobados solo en train.</w:t>
            </w:r>
          </w:p>
        </w:tc>
        <w:tc>
          <w:tcPr>
            <w:tcW w:type="dxa" w:w="453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Comparación con el baseline bajo el mismo validation/test.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RAG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Integración y evaluación de recuperación, no entrenamiento principal.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Corpus, embeddings, índice, Precision@k, Recall@k, MRR/nDCG y citas.</w:t>
            </w:r>
          </w:p>
        </w:tc>
      </w:tr>
    </w:tbl>
    <w:p/>
    <w:p>
      <w:pPr>
        <w:spacing w:after="100" w:line="259" w:lineRule="auto"/>
      </w:pPr>
      <w:r>
        <w:t>Esta separación debe explicarse durante la sustentación: el RAG recupera conocimiento; el entrenamiento real ocurre en el clasificador y en LoRA.</w:t>
      </w:r>
    </w:p>
    <w:p>
      <w:pPr>
        <w:pStyle w:val="Heading1"/>
        <w:spacing w:before="160" w:after="80"/>
      </w:pPr>
      <w:r>
        <w:t>8. Plan experimental</w:t>
      </w:r>
    </w:p>
    <w:p>
      <w:pPr>
        <w:pStyle w:val="Heading2"/>
        <w:spacing w:before="80" w:after="80"/>
      </w:pPr>
      <w:r>
        <w:t>8.1 Clasificador base</w:t>
      </w:r>
    </w:p>
    <w:p>
      <w:pPr>
        <w:pStyle w:val="ListBullet"/>
        <w:spacing w:after="40"/>
      </w:pPr>
      <w:r>
        <w:t>Crear train, validation y test con semilla fija y sin fuga de duplicados.</w:t>
      </w:r>
    </w:p>
    <w:p>
      <w:pPr>
        <w:pStyle w:val="ListBullet"/>
        <w:spacing w:after="40"/>
      </w:pPr>
      <w:r>
        <w:t>Aplicar aumento convencional únicamente a train.</w:t>
      </w:r>
    </w:p>
    <w:p>
      <w:pPr>
        <w:pStyle w:val="ListBullet"/>
        <w:spacing w:after="40"/>
      </w:pPr>
      <w:r>
        <w:t>Ajustar ResNet18 preentrenada y seleccionar el mejor checkpoint por macro-F1.</w:t>
      </w:r>
    </w:p>
    <w:p>
      <w:pPr>
        <w:pStyle w:val="ListBullet"/>
        <w:spacing w:after="40"/>
      </w:pPr>
      <w:r>
        <w:t>Registrar curvas, accuracy, macro-F1, F1 por clase, matriz de confusión y latencia.</w:t>
      </w:r>
    </w:p>
    <w:p>
      <w:pPr>
        <w:pStyle w:val="Heading2"/>
        <w:spacing w:before="80" w:after="80"/>
      </w:pPr>
      <w:r>
        <w:t>8.2 LoRA de Stable Diffusion 1.5</w:t>
      </w:r>
    </w:p>
    <w:p>
      <w:pPr>
        <w:pStyle w:val="ListBullet"/>
        <w:spacing w:after="40"/>
      </w:pPr>
      <w:r>
        <w:t>Preparar un subconjunto con captions y trigger word `soybeanseed`.</w:t>
      </w:r>
    </w:p>
    <w:p>
      <w:pPr>
        <w:pStyle w:val="ListBullet"/>
        <w:spacing w:after="40"/>
      </w:pPr>
      <w:r>
        <w:t>Ejecutar una prueba de 100 pasos y revisar carga, memoria y muestras.</w:t>
      </w:r>
    </w:p>
    <w:p>
      <w:pPr>
        <w:pStyle w:val="ListBullet"/>
        <w:spacing w:after="40"/>
      </w:pPr>
      <w:r>
        <w:t>Ejecutar una corrida inicial completa de 800 pasos en Colab.</w:t>
      </w:r>
    </w:p>
    <w:p>
      <w:pPr>
        <w:pStyle w:val="ListBullet"/>
        <w:spacing w:after="40"/>
      </w:pPr>
      <w:r>
        <w:t>Guardar adaptador, configuración, prompts y muestras por checkpoint.</w:t>
      </w:r>
    </w:p>
    <w:p>
      <w:pPr>
        <w:pStyle w:val="Heading2"/>
        <w:spacing w:before="80" w:after="80"/>
      </w:pPr>
      <w:r>
        <w:t>8.3 Comparación con datos sintéticos</w:t>
      </w:r>
    </w:p>
    <w:p>
      <w:pPr>
        <w:pStyle w:val="ListBullet"/>
        <w:spacing w:after="40"/>
      </w:pPr>
      <w:r>
        <w:t>Revisar y clasificar cada imagen generada como aceptada o rechazada.</w:t>
      </w:r>
    </w:p>
    <w:p>
      <w:pPr>
        <w:pStyle w:val="ListBullet"/>
        <w:spacing w:after="40"/>
      </w:pPr>
      <w:r>
        <w:t>Mantener validation y test con imágenes reales sin cambios.</w:t>
      </w:r>
    </w:p>
    <w:p>
      <w:pPr>
        <w:pStyle w:val="ListBullet"/>
        <w:spacing w:after="40"/>
      </w:pPr>
      <w:r>
        <w:t>Reentrenar con datos reales más sintéticos aceptados.</w:t>
      </w:r>
    </w:p>
    <w:p>
      <w:pPr>
        <w:pStyle w:val="ListBullet"/>
        <w:spacing w:after="40"/>
      </w:pPr>
      <w:r>
        <w:t>Comparar macro-F1 y F1 por clase con el baseline.</w:t>
      </w:r>
    </w:p>
    <w:p>
      <w:pPr>
        <w:pStyle w:val="Heading1"/>
        <w:spacing w:before="160" w:after="80"/>
      </w:pPr>
      <w:r>
        <w:t>9. Estrategia de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515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Entorno</w:t>
            </w:r>
          </w:p>
        </w:tc>
        <w:tc>
          <w:tcPr>
            <w:tcW w:type="dxa" w:w="5953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 recomendado</w:t>
            </w:r>
          </w:p>
        </w:tc>
      </w:tr>
      <w:tr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Laptop HP OMEN: i7-7700HQ, 12 GB RAM, GTX 1050 4 GB</w:t>
            </w:r>
          </w:p>
        </w:tc>
        <w:tc>
          <w:tcPr>
            <w:tcW w:type="dxa" w:w="595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Git, Codex, preprocesamiento, auditoría, pruebas, RAG, interfaz e inferencia ligera.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Google Colab con GPU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Entrenamiento LoRA de SD 1.5 y, si es necesario, entrenamiento visual más rápido.</w:t>
            </w:r>
          </w:p>
        </w:tc>
      </w:tr>
      <w:tr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Google Drive</w:t>
            </w:r>
          </w:p>
        </w:tc>
        <w:tc>
          <w:tcPr>
            <w:tcW w:type="dxa" w:w="595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Dataset, checkpoints, adaptador LoRA y resultados pesados.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GitHub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Código, configuraciones, metadatos, documentación, pruebas y resultados seleccionados.</w:t>
            </w:r>
          </w:p>
        </w:tc>
      </w:tr>
    </w:tbl>
    <w:p/>
    <w:p>
      <w:pPr>
        <w:spacing w:after="100" w:line="259" w:lineRule="auto"/>
      </w:pPr>
      <w:r>
        <w:t>El modelo base de Stable Diffusion, el dataset completo y los pesos no deben subirse a GitHub.</w:t>
      </w:r>
    </w:p>
    <w:p>
      <w:pPr>
        <w:pStyle w:val="Heading1"/>
        <w:spacing w:before="160" w:after="80"/>
      </w:pPr>
      <w:r>
        <w:t>10. Estructura final del repositorio</w:t>
      </w:r>
    </w:p>
    <w:p>
      <w:pPr>
        <w:spacing w:after="100" w:line="259" w:lineRule="auto"/>
      </w:pPr>
      <w:r>
        <w:t>El ZIP adjunto contiene una estructura lista para adaptar, con los siguientes bloques: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005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Carpeta/archivo</w:t>
            </w:r>
          </w:p>
        </w:tc>
        <w:tc>
          <w:tcPr>
            <w:tcW w:type="dxa" w:w="6463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00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app/</w:t>
            </w:r>
          </w:p>
        </w:tc>
        <w:tc>
          <w:tcPr>
            <w:tcW w:type="dxa" w:w="646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Interfaz Streamlit y componentes visuales.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configs/</w:t>
            </w:r>
          </w:p>
        </w:tc>
        <w:tc>
          <w:tcPr>
            <w:tcW w:type="dxa" w:w="646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Parámetros de proyecto, dataset, visión, LoRA, RAG e informes.</w:t>
            </w:r>
          </w:p>
        </w:tc>
      </w:tr>
      <w:tr>
        <w:tc>
          <w:tcPr>
            <w:tcW w:type="dxa" w:w="300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data/</w:t>
            </w:r>
          </w:p>
        </w:tc>
        <w:tc>
          <w:tcPr>
            <w:tcW w:type="dxa" w:w="646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README, metadatos y rutas locales excluidas de Git.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src/data/</w:t>
            </w:r>
          </w:p>
        </w:tc>
        <w:tc>
          <w:tcPr>
            <w:tcW w:type="dxa" w:w="646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Verificación, auditoría, splits y metadatos.</w:t>
            </w:r>
          </w:p>
        </w:tc>
      </w:tr>
      <w:tr>
        <w:tc>
          <w:tcPr>
            <w:tcW w:type="dxa" w:w="300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src/vision/</w:t>
            </w:r>
          </w:p>
        </w:tc>
        <w:tc>
          <w:tcPr>
            <w:tcW w:type="dxa" w:w="646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Clasificador visual.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src/synthetic_data/</w:t>
            </w:r>
          </w:p>
        </w:tc>
        <w:tc>
          <w:tcPr>
            <w:tcW w:type="dxa" w:w="646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Captions, LoRA, generación y revisión.</w:t>
            </w:r>
          </w:p>
        </w:tc>
      </w:tr>
      <w:tr>
        <w:tc>
          <w:tcPr>
            <w:tcW w:type="dxa" w:w="300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src/rag/</w:t>
            </w:r>
          </w:p>
        </w:tc>
        <w:tc>
          <w:tcPr>
            <w:tcW w:type="dxa" w:w="646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Carga documental, embeddings, FAISS y recuperación.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src/reports/</w:t>
            </w:r>
          </w:p>
        </w:tc>
        <w:tc>
          <w:tcPr>
            <w:tcW w:type="dxa" w:w="646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Plantillas, citas y generación del informe.</w:t>
            </w:r>
          </w:p>
        </w:tc>
      </w:tr>
      <w:tr>
        <w:tc>
          <w:tcPr>
            <w:tcW w:type="dxa" w:w="300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scripts/</w:t>
            </w:r>
          </w:p>
        </w:tc>
        <w:tc>
          <w:tcPr>
            <w:tcW w:type="dxa" w:w="646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Puntos de entrada reproducibles.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notebooks/</w:t>
            </w:r>
          </w:p>
        </w:tc>
        <w:tc>
          <w:tcPr>
            <w:tcW w:type="dxa" w:w="646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Experimentos y evidencias.</w:t>
            </w:r>
          </w:p>
        </w:tc>
      </w:tr>
      <w:tr>
        <w:tc>
          <w:tcPr>
            <w:tcW w:type="dxa" w:w="300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codex/</w:t>
            </w:r>
          </w:p>
        </w:tc>
        <w:tc>
          <w:tcPr>
            <w:tcW w:type="dxa" w:w="646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Tareas delimitadas para Codex.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AGENTS.md</w:t>
            </w:r>
          </w:p>
        </w:tc>
        <w:tc>
          <w:tcPr>
            <w:tcW w:type="dxa" w:w="646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Reglas persistentes que Codex carga en el repositorio.</w:t>
            </w:r>
          </w:p>
        </w:tc>
      </w:tr>
      <w:tr>
        <w:tc>
          <w:tcPr>
            <w:tcW w:type="dxa" w:w="300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docs/</w:t>
            </w:r>
          </w:p>
        </w:tc>
        <w:tc>
          <w:tcPr>
            <w:tcW w:type="dxa" w:w="646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Contexto, metodología, GitHub, ética, evaluación e IEEE.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tests/</w:t>
            </w:r>
          </w:p>
        </w:tc>
        <w:tc>
          <w:tcPr>
            <w:tcW w:type="dxa" w:w="646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Pruebas automatizadas.</w:t>
            </w:r>
          </w:p>
        </w:tc>
      </w:tr>
    </w:tbl>
    <w:p/>
    <w:p>
      <w:pPr>
        <w:pStyle w:val="Heading1"/>
        <w:spacing w:before="160" w:after="80"/>
      </w:pPr>
      <w:r>
        <w:t>11. Actualización del repositorio existente</w:t>
      </w:r>
    </w:p>
    <w:p>
      <w:pPr>
        <w:spacing w:after="40"/>
        <w:ind w:left="198" w:hanging="198"/>
      </w:pPr>
      <w:r>
        <w:rPr>
          <w:b/>
        </w:rPr>
        <w:t xml:space="preserve">1. </w:t>
      </w:r>
      <w:r>
        <w:t>Actualizar main y crear una rama de respaldo.</w:t>
      </w:r>
    </w:p>
    <w:p>
      <w:pPr>
        <w:spacing w:after="40"/>
        <w:ind w:left="198" w:hanging="198"/>
      </w:pPr>
      <w:r>
        <w:rPr>
          <w:b/>
        </w:rPr>
        <w:t xml:space="preserve">2. </w:t>
      </w:r>
      <w:r>
        <w:t>Crear la rama `refactor/seedcare-soybean-final`.</w:t>
      </w:r>
    </w:p>
    <w:p>
      <w:pPr>
        <w:spacing w:after="40"/>
        <w:ind w:left="198" w:hanging="198"/>
      </w:pPr>
      <w:r>
        <w:rPr>
          <w:b/>
        </w:rPr>
        <w:t xml:space="preserve">3. </w:t>
      </w:r>
      <w:r>
        <w:t>Extraer el ZIP en una carpeta temporal.</w:t>
      </w:r>
    </w:p>
    <w:p>
      <w:pPr>
        <w:spacing w:after="40"/>
        <w:ind w:left="198" w:hanging="198"/>
      </w:pPr>
      <w:r>
        <w:rPr>
          <w:b/>
        </w:rPr>
        <w:t xml:space="preserve">4. </w:t>
      </w:r>
      <w:r>
        <w:t>Copiar el contenido interno a la raíz del repositorio actual.</w:t>
      </w:r>
    </w:p>
    <w:p>
      <w:pPr>
        <w:spacing w:after="40"/>
        <w:ind w:left="198" w:hanging="198"/>
      </w:pPr>
      <w:r>
        <w:rPr>
          <w:b/>
        </w:rPr>
        <w:t xml:space="preserve">5. </w:t>
      </w:r>
      <w:r>
        <w:t>Reemplazar archivos y registrar eliminaciones con `git add -A`.</w:t>
      </w:r>
    </w:p>
    <w:p>
      <w:pPr>
        <w:spacing w:after="40"/>
        <w:ind w:left="198" w:hanging="198"/>
      </w:pPr>
      <w:r>
        <w:rPr>
          <w:b/>
        </w:rPr>
        <w:t xml:space="preserve">6. </w:t>
      </w:r>
      <w:r>
        <w:t>Revisar que no aparezcan dataset, credenciales, modelos ni índices.</w:t>
      </w:r>
    </w:p>
    <w:p>
      <w:pPr>
        <w:spacing w:after="40"/>
        <w:ind w:left="198" w:hanging="198"/>
      </w:pPr>
      <w:r>
        <w:rPr>
          <w:b/>
        </w:rPr>
        <w:t xml:space="preserve">7. </w:t>
      </w:r>
      <w:r>
        <w:t>Ejecutar las pruebas core.</w:t>
      </w:r>
    </w:p>
    <w:p>
      <w:pPr>
        <w:spacing w:after="40"/>
        <w:ind w:left="198" w:hanging="198"/>
      </w:pPr>
      <w:r>
        <w:rPr>
          <w:b/>
        </w:rPr>
        <w:t xml:space="preserve">8. </w:t>
      </w:r>
      <w:r>
        <w:t>Hacer commit, push y Pull Request hacia main.</w:t>
      </w:r>
    </w:p>
    <w:p>
      <w:pPr>
        <w:spacing w:after="100" w:line="259" w:lineRule="auto"/>
      </w:pPr>
      <w:r>
        <w:t>Comandos principales:</w:t>
      </w:r>
    </w:p>
    <w:p>
      <w:r>
        <w:rPr>
          <w:rFonts w:ascii="Consolas" w:hAnsi="Consolas"/>
          <w:sz w:val="17"/>
        </w:rPr>
        <w:t>git checkout main</w:t>
        <w:br/>
        <w:t>git pull origin main</w:t>
        <w:br/>
        <w:t>git checkout -b backup/estructura-anterior</w:t>
        <w:br/>
        <w:t>git push -u origin backup/estructura-anterior</w:t>
        <w:br/>
        <w:t>git checkout main</w:t>
        <w:br/>
        <w:t>git checkout -b refactor/seedcare-soybean-final</w:t>
        <w:br/>
        <w:t>git add -A</w:t>
        <w:br/>
        <w:t>git commit -m "refactor: adapta el proyecto a SeedCare-RAG LoRA"</w:t>
        <w:br/>
        <w:t>git push -u origin refactor/seedcare-soybean-final</w:t>
      </w:r>
    </w:p>
    <w:p>
      <w:pPr>
        <w:pStyle w:val="Heading1"/>
        <w:spacing w:before="160" w:after="80"/>
      </w:pPr>
      <w:r>
        <w:t>12. Uso de Codex local</w:t>
      </w:r>
    </w:p>
    <w:p>
      <w:pPr>
        <w:spacing w:after="100" w:line="259" w:lineRule="auto"/>
      </w:pPr>
      <w:r>
        <w:t>Codex puede leer, modificar y ejecutar código en la carpeta seleccionada. El repositorio incluye `AGENTS.md` con reglas persistentes y tareas delimitadas dentro de `codex/tasks/`. La práctica correcta es ejecutar una tarea por etapa, revisar el plan, inspeccionar `git diff`, correr pruebas y aprobar el commit manualmente.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515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 Codex</w:t>
            </w:r>
          </w:p>
        </w:tc>
        <w:tc>
          <w:tcPr>
            <w:tcW w:type="dxa" w:w="5953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01_dataset_acquisition</w:t>
            </w:r>
          </w:p>
        </w:tc>
        <w:tc>
          <w:tcPr>
            <w:tcW w:type="dxa" w:w="595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Validación de las cinco carpetas y conteos.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02_dataset_audit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CSV/JSON de integridad, tamaños y duplicados.</w:t>
            </w:r>
          </w:p>
        </w:tc>
      </w:tr>
      <w:tr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03_dataset_splits</w:t>
            </w:r>
          </w:p>
        </w:tc>
        <w:tc>
          <w:tcPr>
            <w:tcW w:type="dxa" w:w="595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Splits reproducibles sin fuga.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04_vision_training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Baseline visual con métricas y checkpoint.</w:t>
            </w:r>
          </w:p>
        </w:tc>
      </w:tr>
      <w:tr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05_lora_preparation</w:t>
            </w:r>
          </w:p>
        </w:tc>
        <w:tc>
          <w:tcPr>
            <w:tcW w:type="dxa" w:w="595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Captions y metadata.jsonl.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06_lora_colab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Notebook reproducible y adaptador LoRA.</w:t>
            </w:r>
          </w:p>
        </w:tc>
      </w:tr>
      <w:tr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07_rag</w:t>
            </w:r>
          </w:p>
        </w:tc>
        <w:tc>
          <w:tcPr>
            <w:tcW w:type="dxa" w:w="595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Corpus indexado, recuperación y métricas.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08_integration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Aplicación integrada.</w:t>
            </w:r>
          </w:p>
        </w:tc>
      </w:tr>
      <w:tr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09_evaluation_docs</w:t>
            </w:r>
          </w:p>
        </w:tc>
        <w:tc>
          <w:tcPr>
            <w:tcW w:type="dxa" w:w="5953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Resultados, documentación e informe.</w:t>
            </w:r>
          </w:p>
        </w:tc>
      </w:tr>
    </w:tbl>
    <w:p/>
    <w:p>
      <w:pPr>
        <w:pStyle w:val="Heading1"/>
        <w:spacing w:before="160" w:after="80"/>
      </w:pPr>
      <w:r>
        <w:t>13. Paso a paso inmediato: adquisición del dataset</w:t>
      </w:r>
    </w:p>
    <w:p>
      <w:pPr>
        <w:spacing w:after="40"/>
        <w:ind w:left="198" w:hanging="198"/>
      </w:pPr>
      <w:r>
        <w:rPr>
          <w:b/>
        </w:rPr>
        <w:t xml:space="preserve">1. </w:t>
      </w:r>
      <w:r>
        <w:t>Crear `feature/dataset-acquisition` desde main actualizado.</w:t>
      </w:r>
    </w:p>
    <w:p>
      <w:pPr>
        <w:spacing w:after="40"/>
        <w:ind w:left="198" w:hanging="198"/>
      </w:pPr>
      <w:r>
        <w:rPr>
          <w:b/>
        </w:rPr>
        <w:t xml:space="preserve">2. </w:t>
      </w:r>
      <w:r>
        <w:t>Descargar Soybean Seeds desde Mendeley y conservar el ZIP original fuera del repositorio.</w:t>
      </w:r>
    </w:p>
    <w:p>
      <w:pPr>
        <w:spacing w:after="40"/>
        <w:ind w:left="198" w:hanging="198"/>
      </w:pPr>
      <w:r>
        <w:rPr>
          <w:b/>
        </w:rPr>
        <w:t xml:space="preserve">3. </w:t>
      </w:r>
      <w:r>
        <w:t>Actualizar `download_date` en `data/metadata/dataset_sources.csv`.</w:t>
      </w:r>
    </w:p>
    <w:p>
      <w:pPr>
        <w:spacing w:after="40"/>
        <w:ind w:left="198" w:hanging="198"/>
      </w:pPr>
      <w:r>
        <w:rPr>
          <w:b/>
        </w:rPr>
        <w:t xml:space="preserve">4. </w:t>
      </w:r>
      <w:r>
        <w:t>Extraer las cinco carpetas en `data/raw/soybean_seeds/`.</w:t>
      </w:r>
    </w:p>
    <w:p>
      <w:pPr>
        <w:spacing w:after="40"/>
        <w:ind w:left="198" w:hanging="198"/>
      </w:pPr>
      <w:r>
        <w:rPr>
          <w:b/>
        </w:rPr>
        <w:t xml:space="preserve">5. </w:t>
      </w:r>
      <w:r>
        <w:t>Ejecutar `python scripts/verify_dataset_structure.py --dataset data/raw/soybean_seeds`.</w:t>
      </w:r>
    </w:p>
    <w:p>
      <w:pPr>
        <w:spacing w:after="40"/>
        <w:ind w:left="198" w:hanging="198"/>
      </w:pPr>
      <w:r>
        <w:rPr>
          <w:b/>
        </w:rPr>
        <w:t xml:space="preserve">6. </w:t>
      </w:r>
      <w:r>
        <w:t>Comprobar con `git status` que ninguna imagen esté siendo seguida.</w:t>
      </w:r>
    </w:p>
    <w:p>
      <w:pPr>
        <w:spacing w:after="40"/>
        <w:ind w:left="198" w:hanging="198"/>
      </w:pPr>
      <w:r>
        <w:rPr>
          <w:b/>
        </w:rPr>
        <w:t xml:space="preserve">7. </w:t>
      </w:r>
      <w:r>
        <w:t>Ejecutar la auditoría y revisar `summary.json` antes de continuar.</w:t>
      </w:r>
    </w:p>
    <w:p>
      <w:pPr>
        <w:spacing w:after="40"/>
        <w:ind w:left="198" w:hanging="198"/>
      </w:pPr>
      <w:r>
        <w:rPr>
          <w:b/>
        </w:rPr>
        <w:t xml:space="preserve">8. </w:t>
      </w:r>
      <w:r>
        <w:t>Hacer commit únicamente de metadatos, documentación y código.</w:t>
      </w:r>
    </w:p>
    <w:p>
      <w:pPr>
        <w:pStyle w:val="Heading1"/>
        <w:spacing w:before="160" w:after="80"/>
      </w:pPr>
      <w:r>
        <w:t>14. Métricas y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855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Métricas mínimas</w:t>
            </w:r>
          </w:p>
        </w:tc>
        <w:tc>
          <w:tcPr>
            <w:tcW w:type="dxa" w:w="3685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Criterio de aceptación inicial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Clasificador</w:t>
            </w:r>
          </w:p>
        </w:tc>
        <w:tc>
          <w:tcPr>
            <w:tcW w:type="dxa" w:w="385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Accuracy, macro-F1, F1 por clase, matriz de confusión.</w:t>
            </w:r>
          </w:p>
        </w:tc>
        <w:tc>
          <w:tcPr>
            <w:tcW w:type="dxa" w:w="368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Pipeline reproducible y resultados en test real.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LoRA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Pérdida, tasa de aceptación, fidelidad de clase y diversidad.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Adaptador cargable y muestras identificables.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Comparación sintética</w:t>
            </w:r>
          </w:p>
        </w:tc>
        <w:tc>
          <w:tcPr>
            <w:tcW w:type="dxa" w:w="385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Cambio de macro-F1 y F1 por clase.</w:t>
            </w:r>
          </w:p>
        </w:tc>
        <w:tc>
          <w:tcPr>
            <w:tcW w:type="dxa" w:w="368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Validación/test sin sintéticos y misma configuración.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RAG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Precision@5, Recall@5, MRR/nDCG y respaldo de afirmaciones.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Fuentes visibles y abstención sin evidencia.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Sistema</w:t>
            </w:r>
          </w:p>
        </w:tc>
        <w:tc>
          <w:tcPr>
            <w:tcW w:type="dxa" w:w="385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Latencia, casos correctos/incorrectos y revisión humana.</w:t>
            </w:r>
          </w:p>
        </w:tc>
        <w:tc>
          <w:tcPr>
            <w:tcW w:type="dxa" w:w="368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Demo estable con plan de contingencia.</w:t>
            </w:r>
          </w:p>
        </w:tc>
      </w:tr>
    </w:tbl>
    <w:p/>
    <w:p>
      <w:pPr>
        <w:pStyle w:val="Heading1"/>
        <w:spacing w:before="160" w:after="80"/>
      </w:pPr>
      <w:r>
        <w:t>15. Riesgos, ética y limitaciones</w:t>
      </w:r>
    </w:p>
    <w:p>
      <w:pPr>
        <w:pStyle w:val="ListBullet"/>
        <w:spacing w:after="40"/>
      </w:pPr>
      <w:r>
        <w:t>La imagen no permite confirmar por sí sola una enfermedad o patógeno.</w:t>
      </w:r>
    </w:p>
    <w:p>
      <w:pPr>
        <w:pStyle w:val="ListBullet"/>
        <w:spacing w:after="40"/>
      </w:pPr>
      <w:r>
        <w:t>Las condiciones de iluminación, fondo y enfoque pueden afectar la predicción.</w:t>
      </w:r>
    </w:p>
    <w:p>
      <w:pPr>
        <w:pStyle w:val="ListBullet"/>
        <w:spacing w:after="40"/>
      </w:pPr>
      <w:r>
        <w:t>El dataset cubre soja y cinco categorías concretas; no generaliza automáticamente a otras semillas.</w:t>
      </w:r>
    </w:p>
    <w:p>
      <w:pPr>
        <w:pStyle w:val="ListBullet"/>
        <w:spacing w:after="40"/>
      </w:pPr>
      <w:r>
        <w:t>Los sintéticos pueden introducir artefactos y sesgos; requieren revisión humana.</w:t>
      </w:r>
    </w:p>
    <w:p>
      <w:pPr>
        <w:pStyle w:val="ListBullet"/>
        <w:spacing w:after="40"/>
      </w:pPr>
      <w:r>
        <w:t>Las recomendaciones deben estar vinculadas a fuentes y presentarse como apoyo preliminar.</w:t>
      </w:r>
    </w:p>
    <w:p>
      <w:pPr>
        <w:pStyle w:val="ListBullet"/>
        <w:spacing w:after="40"/>
      </w:pPr>
      <w:r>
        <w:t>El sistema debe abstenerse cuando no exista evidencia suficiente.</w:t>
      </w:r>
    </w:p>
    <w:p>
      <w:pPr>
        <w:pStyle w:val="ListBullet"/>
        <w:spacing w:after="40"/>
      </w:pPr>
      <w:r>
        <w:t>Se debe respetar la licencia del dataset y citar su procedencia.</w:t>
      </w:r>
    </w:p>
    <w:p>
      <w:pPr>
        <w:pStyle w:val="Heading1"/>
        <w:spacing w:before="160" w:after="80"/>
      </w:pPr>
      <w:r>
        <w:t>16. Cronograma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470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855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470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Adquisición, verificación y auditoría.</w:t>
            </w:r>
          </w:p>
        </w:tc>
        <w:tc>
          <w:tcPr>
            <w:tcW w:type="dxa" w:w="385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summary.json, images.csv y conteos.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Splits y baseline visual.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Checkpoint, curvas y matriz.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470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Mejora visual y captions LoRA.</w:t>
            </w:r>
          </w:p>
        </w:tc>
        <w:tc>
          <w:tcPr>
            <w:tcW w:type="dxa" w:w="385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Métricas y metadata.jsonl.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Entrenamiento LoRA en Colab.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Adaptador y muestras.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470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Revisión sintética y comparación.</w:t>
            </w:r>
          </w:p>
        </w:tc>
        <w:tc>
          <w:tcPr>
            <w:tcW w:type="dxa" w:w="385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Tabla baseline vs sintéticos.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Corpus RAG, índice e integración.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Búsqueda, fuentes y app.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470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Evaluación, informe, diapositivas y demo.</w:t>
            </w:r>
          </w:p>
        </w:tc>
        <w:tc>
          <w:tcPr>
            <w:tcW w:type="dxa" w:w="3855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7"/>
              </w:rPr>
              <w:t>Entregables finales.</w:t>
            </w:r>
          </w:p>
        </w:tc>
      </w:tr>
    </w:tbl>
    <w:p/>
    <w:p>
      <w:pPr>
        <w:pStyle w:val="Heading1"/>
        <w:spacing w:before="160" w:after="80"/>
      </w:pPr>
      <w:r>
        <w:t>17. Entregables finales previstos</w:t>
      </w:r>
    </w:p>
    <w:p>
      <w:pPr>
        <w:pStyle w:val="ListBullet"/>
        <w:spacing w:after="40"/>
      </w:pPr>
      <w:r>
        <w:t>Repositorio GitHub con README e instrucciones de ejecución.</w:t>
      </w:r>
    </w:p>
    <w:p>
      <w:pPr>
        <w:pStyle w:val="ListBullet"/>
        <w:spacing w:after="40"/>
      </w:pPr>
      <w:r>
        <w:t>Dataset documentado y manifiestos de splits.</w:t>
      </w:r>
    </w:p>
    <w:p>
      <w:pPr>
        <w:pStyle w:val="ListBullet"/>
        <w:spacing w:after="40"/>
      </w:pPr>
      <w:r>
        <w:t>Clasificador visual entrenado y evaluado.</w:t>
      </w:r>
    </w:p>
    <w:p>
      <w:pPr>
        <w:pStyle w:val="ListBullet"/>
        <w:spacing w:after="40"/>
      </w:pPr>
      <w:r>
        <w:t>Adaptador LoRA de Stable Diffusion 1.5.</w:t>
      </w:r>
    </w:p>
    <w:p>
      <w:pPr>
        <w:pStyle w:val="ListBullet"/>
        <w:spacing w:after="40"/>
      </w:pPr>
      <w:r>
        <w:t>Registro de imágenes sintéticas aceptadas y rechazadas.</w:t>
      </w:r>
    </w:p>
    <w:p>
      <w:pPr>
        <w:pStyle w:val="ListBullet"/>
        <w:spacing w:after="40"/>
      </w:pPr>
      <w:r>
        <w:t>Comparación experimental con y sin sintéticos.</w:t>
      </w:r>
    </w:p>
    <w:p>
      <w:pPr>
        <w:pStyle w:val="ListBullet"/>
        <w:spacing w:after="40"/>
      </w:pPr>
      <w:r>
        <w:t>Corpus documental y base vectorial reproducible.</w:t>
      </w:r>
    </w:p>
    <w:p>
      <w:pPr>
        <w:pStyle w:val="ListBullet"/>
        <w:spacing w:after="40"/>
      </w:pPr>
      <w:r>
        <w:t>Aplicación Streamlit integrada.</w:t>
      </w:r>
    </w:p>
    <w:p>
      <w:pPr>
        <w:pStyle w:val="ListBullet"/>
        <w:spacing w:after="40"/>
      </w:pPr>
      <w:r>
        <w:t>Métricas, tablas, figuras y casos de prueba.</w:t>
      </w:r>
    </w:p>
    <w:p>
      <w:pPr>
        <w:pStyle w:val="ListBullet"/>
        <w:spacing w:after="40"/>
      </w:pPr>
      <w:r>
        <w:t>Informe IEEE, reflexión ética, diapositivas y video de contingencia.</w:t>
      </w:r>
    </w:p>
    <w:p>
      <w:pPr>
        <w:pStyle w:val="Heading1"/>
        <w:spacing w:before="160" w:after="80"/>
      </w:pPr>
      <w:r>
        <w:t>18. Referencias base</w:t>
      </w:r>
    </w:p>
    <w:p>
      <w:pPr>
        <w:spacing w:after="80"/>
        <w:ind w:left="283" w:hanging="283"/>
      </w:pPr>
      <w:r>
        <w:t>[1] W. Lin et al., “Soybean Seeds,” Mendeley Data, Version 6, 2023, doi: 10.17632/v6vzvfszj6.6.</w:t>
      </w:r>
    </w:p>
    <w:p>
      <w:pPr>
        <w:spacing w:after="80"/>
        <w:ind w:left="283" w:hanging="283"/>
      </w:pPr>
      <w:r>
        <w:t>[2] PyTorch, “Transfer Learning for Computer Vision Tutorial,” documentación oficial, actualización 2025.</w:t>
      </w:r>
    </w:p>
    <w:p>
      <w:pPr>
        <w:spacing w:after="80"/>
        <w:ind w:left="283" w:hanging="283"/>
      </w:pPr>
      <w:r>
        <w:t>[3] Hugging Face Diffusers, “LoRA training,” documentación oficial.</w:t>
      </w:r>
    </w:p>
    <w:p>
      <w:pPr>
        <w:spacing w:after="80"/>
        <w:ind w:left="283" w:hanging="283"/>
      </w:pPr>
      <w:r>
        <w:t>[4] OpenAI, “Codex CLI,” “Custom instructions with AGENTS.md” y buenas prácticas de Codex.</w:t>
      </w:r>
    </w:p>
    <w:p>
      <w:pPr>
        <w:spacing w:after="80"/>
        <w:ind w:left="283" w:hanging="283"/>
      </w:pPr>
      <w:r>
        <w:t>[5] Universidad Privada Antenor Orrego, ISIA-119, “Proyecto Integrador: Implementación de un Modelo Generativo en Contexto Empresarial,” 2026-I.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ISIA-119 · Proyecto Integrador · SeedCare-RAG LoRA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