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SEEDCARE-RAG LoRA</w:t>
      </w:r>
    </w:p>
    <w:p>
      <w:pPr>
        <w:jc w:val="center"/>
      </w:pPr>
      <w:r>
        <w:rPr>
          <w:b/>
          <w:sz w:val="28"/>
        </w:rPr>
        <w:t>Sistema multimodal para identificar posibles daños en semillas, recuperar métodos de prevención y manejo, y ampliar clases minoritarias mediante Stable Diffusion 1.5 ajustado con LoRA</w:t>
      </w:r>
    </w:p>
    <w:p>
      <w:pPr>
        <w:jc w:val="center"/>
      </w:pPr>
      <w:r>
        <w:rPr>
          <w:b/>
        </w:rPr>
        <w:br/>
        <w:t>Proyecto Integrador - ISIA-119 Modelos Generativos de IA</w:t>
        <w:br/>
      </w:r>
      <w:r>
        <w:t>Repositorio: rag-lora-stable-diffusion-seeds</w:t>
        <w:br/>
      </w:r>
      <w:r>
        <w:t>Grupo 1: Sebastián Preciado Peralta, Carlos Mezones Burgos y Luis Reyes Guerrero</w:t>
        <w:br/>
      </w:r>
      <w:r>
        <w:t>Julio de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SeedCare-RAG LoRA es un sistema de apoyo al control de calidad de semillas. Recibe una fotografía, estima si presenta un posible daño físico, biológico o morfológico mediante un modelo visual ajustado, recupera información técnica con una arquitectura RAG y genera un informe preliminar con fuentes, nivel de confianza, prevención, métodos de manejo y limitaciones. El proyecto incorpora entrenamiento generativo mediante un adaptador LoRA sobre Stable Diffusion 1.5, destinado a generar ejemplos sintéticos de clases minoritarias. Estas imágenes se revisan y se usan únicamente en el conjunto de entrenamiento.</w:t>
      </w:r>
    </w:p>
    <w:p>
      <w:pPr>
        <w:pStyle w:val="Heading1"/>
      </w:pPr>
      <w:r>
        <w:t>2. Título final y descripción puntual</w:t>
      </w:r>
    </w:p>
    <w:p>
      <w:r>
        <w:rPr>
          <w:b/>
        </w:rPr>
        <w:t>Título final:</w:t>
      </w:r>
    </w:p>
    <w:p>
      <w:r>
        <w:t>SeedCare-RAG LoRA: Sistema multimodal para identificar posibles daños físicos, biológicos y morfológicos en semillas, recuperar métodos de prevención y manejo, y ampliar clases minoritarias mediante Stable Diffusion 1.5 ajustado con LoRA.</w:t>
      </w:r>
    </w:p>
    <w:p>
      <w:r>
        <w:rPr>
          <w:b/>
        </w:rPr>
        <w:t>Descripción puntual:</w:t>
      </w:r>
    </w:p>
    <w:p>
      <w:r>
        <w:t>La aplicación analiza una imagen de semilla, estima una categoría de daño visible y usa esa predicción para recuperar documentos especializados. Con el contexto recuperado, genera un informe técnico que diferencia observaciones, posibles causas y recomendaciones. En paralelo, Stable Diffusion 1.5 se ajusta con LoRA para crear datos sintéticos de categorías con pocas muestras, los cuales se incorporan solo después de revisión humana.</w:t>
      </w:r>
    </w:p>
    <w:p>
      <w:pPr>
        <w:pStyle w:val="Heading1"/>
      </w:pPr>
      <w:r>
        <w:t>3. Problema y valor empresarial</w:t>
      </w:r>
    </w:p>
    <w:p>
      <w:pPr>
        <w:pStyle w:val="ListBullet"/>
      </w:pPr>
      <w:r>
        <w:t>La revisión manual de semillas puede ser lenta y depender de la experiencia del evaluador.</w:t>
      </w:r>
    </w:p>
    <w:p>
      <w:pPr>
        <w:pStyle w:val="ListBullet"/>
      </w:pPr>
      <w:r>
        <w:t>Las empresas pueden tener información dispersa en artículos, manuales y fichas técnicas.</w:t>
      </w:r>
    </w:p>
    <w:p>
      <w:pPr>
        <w:pStyle w:val="ListBullet"/>
      </w:pPr>
      <w:r>
        <w:t>Las clases de daño poco frecuentes suelen tener pocos ejemplos para entrenar modelos.</w:t>
      </w:r>
    </w:p>
    <w:p>
      <w:pPr>
        <w:pStyle w:val="ListBullet"/>
      </w:pPr>
      <w:r>
        <w:t>El sistema organiza el análisis preliminar, recupera evidencia y genera un informe trazable.</w:t>
      </w:r>
    </w:p>
    <w:p>
      <w:r>
        <w:t>El sistema no debe presentarse como diagnóstico definitivo. Su valor es apoyar una inspección preliminar, priorizar muestras y facilitar el acceso a documentación relevante.</w:t>
      </w:r>
    </w:p>
    <w:p>
      <w:pPr>
        <w:pStyle w:val="Heading1"/>
      </w:pPr>
      <w:r>
        <w:t>4. Arquitectura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752"/>
            <w:shd w:fill="D9EAF7"/>
            <w:vAlign w:val="center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Salida</w:t>
            </w:r>
          </w:p>
        </w:tc>
      </w:tr>
      <w:tr>
        <w:tc>
          <w:tcPr>
            <w:tcW w:type="dxa" w:w="1728"/>
            <w:vAlign w:val="top"/>
          </w:tcPr>
          <w:p>
            <w:r>
              <w:t>Dataset</w:t>
            </w:r>
          </w:p>
        </w:tc>
        <w:tc>
          <w:tcPr>
            <w:tcW w:type="dxa" w:w="4752"/>
            <w:vAlign w:val="top"/>
          </w:tcPr>
          <w:p>
            <w:r>
              <w:t>Auditar, etiquetar, separar y aumentar datos.</w:t>
            </w:r>
          </w:p>
        </w:tc>
        <w:tc>
          <w:tcPr>
            <w:tcW w:type="dxa" w:w="2880"/>
            <w:vAlign w:val="top"/>
          </w:tcPr>
          <w:p>
            <w:r>
              <w:t>Metadatos y splits reproducibles.</w:t>
            </w:r>
          </w:p>
        </w:tc>
      </w:tr>
      <w:tr>
        <w:tc>
          <w:tcPr>
            <w:tcW w:type="dxa" w:w="1728"/>
            <w:vAlign w:val="top"/>
          </w:tcPr>
          <w:p>
            <w:r>
              <w:t>Modelo visual</w:t>
            </w:r>
          </w:p>
        </w:tc>
        <w:tc>
          <w:tcPr>
            <w:tcW w:type="dxa" w:w="4752"/>
            <w:vAlign w:val="top"/>
          </w:tcPr>
          <w:p>
            <w:r>
              <w:t>Fine-tuning para clasificar daños visibles.</w:t>
            </w:r>
          </w:p>
        </w:tc>
        <w:tc>
          <w:tcPr>
            <w:tcW w:type="dxa" w:w="2880"/>
            <w:vAlign w:val="top"/>
          </w:tcPr>
          <w:p>
            <w:r>
              <w:t>Clase, probabilidades y checkpoint.</w:t>
            </w:r>
          </w:p>
        </w:tc>
      </w:tr>
      <w:tr>
        <w:tc>
          <w:tcPr>
            <w:tcW w:type="dxa" w:w="1728"/>
            <w:vAlign w:val="top"/>
          </w:tcPr>
          <w:p>
            <w:r>
              <w:t>SD 1.5 + LoRA</w:t>
            </w:r>
          </w:p>
        </w:tc>
        <w:tc>
          <w:tcPr>
            <w:tcW w:type="dxa" w:w="4752"/>
            <w:vAlign w:val="top"/>
          </w:tcPr>
          <w:p>
            <w:r>
              <w:t>Generar ejemplos de clases minoritarias.</w:t>
            </w:r>
          </w:p>
        </w:tc>
        <w:tc>
          <w:tcPr>
            <w:tcW w:type="dxa" w:w="2880"/>
            <w:vAlign w:val="top"/>
          </w:tcPr>
          <w:p>
            <w:r>
              <w:t>Adaptador LoRA e imágenes revisables.</w:t>
            </w:r>
          </w:p>
        </w:tc>
      </w:tr>
      <w:tr>
        <w:tc>
          <w:tcPr>
            <w:tcW w:type="dxa" w:w="1728"/>
            <w:vAlign w:val="top"/>
          </w:tcPr>
          <w:p>
            <w:r>
              <w:t>RAG</w:t>
            </w:r>
          </w:p>
        </w:tc>
        <w:tc>
          <w:tcPr>
            <w:tcW w:type="dxa" w:w="4752"/>
            <w:vAlign w:val="top"/>
          </w:tcPr>
          <w:p>
            <w:r>
              <w:t>Recuperar fragmentos de fuentes verificadas.</w:t>
            </w:r>
          </w:p>
        </w:tc>
        <w:tc>
          <w:tcPr>
            <w:tcW w:type="dxa" w:w="2880"/>
            <w:vAlign w:val="top"/>
          </w:tcPr>
          <w:p>
            <w:r>
              <w:t>Top-k de documentos con scores.</w:t>
            </w:r>
          </w:p>
        </w:tc>
      </w:tr>
      <w:tr>
        <w:tc>
          <w:tcPr>
            <w:tcW w:type="dxa" w:w="1728"/>
            <w:vAlign w:val="top"/>
          </w:tcPr>
          <w:p>
            <w:r>
              <w:t>Informe</w:t>
            </w:r>
          </w:p>
        </w:tc>
        <w:tc>
          <w:tcPr>
            <w:tcW w:type="dxa" w:w="4752"/>
            <w:vAlign w:val="top"/>
          </w:tcPr>
          <w:p>
            <w:r>
              <w:t>Combinar predicción y evidencia documental.</w:t>
            </w:r>
          </w:p>
        </w:tc>
        <w:tc>
          <w:tcPr>
            <w:tcW w:type="dxa" w:w="2880"/>
            <w:vAlign w:val="top"/>
          </w:tcPr>
          <w:p>
            <w:r>
              <w:t>Informe preliminar con fuentes y límites.</w:t>
            </w:r>
          </w:p>
        </w:tc>
      </w:tr>
      <w:tr>
        <w:tc>
          <w:tcPr>
            <w:tcW w:type="dxa" w:w="1728"/>
            <w:vAlign w:val="top"/>
          </w:tcPr>
          <w:p>
            <w:r>
              <w:t>Streamlit</w:t>
            </w:r>
          </w:p>
        </w:tc>
        <w:tc>
          <w:tcPr>
            <w:tcW w:type="dxa" w:w="4752"/>
            <w:vAlign w:val="top"/>
          </w:tcPr>
          <w:p>
            <w:r>
              <w:t>Ofrecer la demostración en vivo.</w:t>
            </w:r>
          </w:p>
        </w:tc>
        <w:tc>
          <w:tcPr>
            <w:tcW w:type="dxa" w:w="2880"/>
            <w:vAlign w:val="top"/>
          </w:tcPr>
          <w:p>
            <w:r>
              <w:t>Interfaz de carga, análisis y reporte.</w:t>
            </w:r>
          </w:p>
        </w:tc>
      </w:tr>
    </w:tbl>
    <w:p/>
    <w:p>
      <w:pPr>
        <w:pStyle w:val="Heading1"/>
      </w:pPr>
      <w:r>
        <w:t>5. ¿Dónde se cumple el entrenamiento de modelos?</w:t>
      </w:r>
    </w:p>
    <w:p>
      <w:r>
        <w:t>El requisito se cumple de forma explícita en dos partes. La primera corresponde al ajuste del modelo visual. La segunda es el entrenamiento generativo con LoRA sobre Stable Diffusion 1.5.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Entrenamiento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Qué se actualiza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  <w:vAlign w:val="top"/>
          </w:tcPr>
          <w:p>
            <w:r>
              <w:t>Fine-tuning visual</w:t>
            </w:r>
          </w:p>
        </w:tc>
        <w:tc>
          <w:tcPr>
            <w:tcW w:type="dxa" w:w="4608"/>
            <w:vAlign w:val="top"/>
          </w:tcPr>
          <w:p>
            <w:r>
              <w:t>Capas del clasificador y, según el experimento, parte del backbone de ResNet18 o EfficientNet-B0.</w:t>
            </w:r>
          </w:p>
        </w:tc>
        <w:tc>
          <w:tcPr>
            <w:tcW w:type="dxa" w:w="3168"/>
            <w:vAlign w:val="top"/>
          </w:tcPr>
          <w:p>
            <w:r>
              <w:t>Curvas de pérdida, checkpoint propio, macro-F1, métricas por clase y matriz de confusión.</w:t>
            </w:r>
          </w:p>
        </w:tc>
      </w:tr>
      <w:tr>
        <w:tc>
          <w:tcPr>
            <w:tcW w:type="dxa" w:w="2160"/>
            <w:vAlign w:val="top"/>
          </w:tcPr>
          <w:p>
            <w:r>
              <w:t>LoRA de SD 1.5</w:t>
            </w:r>
          </w:p>
        </w:tc>
        <w:tc>
          <w:tcPr>
            <w:tcW w:type="dxa" w:w="4608"/>
            <w:vAlign w:val="top"/>
          </w:tcPr>
          <w:p>
            <w:r>
              <w:t>Matrices LoRA insertadas en el UNet; el modelo base permanece mayormente congelado.</w:t>
            </w:r>
          </w:p>
        </w:tc>
        <w:tc>
          <w:tcPr>
            <w:tcW w:type="dxa" w:w="3168"/>
            <w:vAlign w:val="top"/>
          </w:tcPr>
          <w:p>
            <w:r>
              <w:t>Archivo .safetensors, configuración, pérdidas, captions y muestras base frente a LoRA.</w:t>
            </w:r>
          </w:p>
        </w:tc>
      </w:tr>
    </w:tbl>
    <w:p/>
    <w:p>
      <w:r>
        <w:t>Experimento central: comparar el clasificador entrenado con datos reales contra el mismo clasificador entrenado con datos reales más imágenes sintéticas aceptadas. Esta comparación demuestra si el LoRA aporta una mejora medible o introduce ruido.</w:t>
      </w:r>
    </w:p>
    <w:p>
      <w:pPr>
        <w:pStyle w:val="Heading1"/>
      </w:pPr>
      <w:r>
        <w:t>6. Metodología del dataset</w:t>
      </w:r>
    </w:p>
    <w:p>
      <w:pPr>
        <w:pStyle w:val="ListNumber"/>
      </w:pPr>
      <w:r>
        <w:t>Auditar archivos, resoluciones, duplicados, corrupción y distribución de clases.</w:t>
      </w:r>
    </w:p>
    <w:p>
      <w:pPr>
        <w:pStyle w:val="ListNumber"/>
      </w:pPr>
      <w:r>
        <w:t>Definir etiquetas principales: sana, daño físico, daño biológico y daño morfológico.</w:t>
      </w:r>
    </w:p>
    <w:p>
      <w:pPr>
        <w:pStyle w:val="ListNumber"/>
      </w:pPr>
      <w:r>
        <w:t>Marcar como no clasificada cualquier imagen dudosa hasta revisión.</w:t>
      </w:r>
    </w:p>
    <w:p>
      <w:pPr>
        <w:pStyle w:val="ListNumber"/>
      </w:pPr>
      <w:r>
        <w:t>Registrar especie, etiqueta, subetiqueta, procedencia, verificación y original_id.</w:t>
      </w:r>
    </w:p>
    <w:p>
      <w:pPr>
        <w:pStyle w:val="ListNumber"/>
      </w:pPr>
      <w:r>
        <w:t>Separar 80% entrenamiento, 10% validación y 10% prueba antes de aumentar.</w:t>
      </w:r>
    </w:p>
    <w:p>
      <w:pPr>
        <w:pStyle w:val="ListNumber"/>
      </w:pPr>
      <w:r>
        <w:t>Aplicar aumento clásico únicamente al conjunto de entrenamiento.</w:t>
      </w:r>
    </w:p>
    <w:p>
      <w:pPr>
        <w:pStyle w:val="ListNumber"/>
      </w:pPr>
      <w:r>
        <w:t>Generar datos sintéticos solo para clases minoritarias y revisarlos manualmente.</w:t>
      </w:r>
    </w:p>
    <w:p>
      <w:pPr>
        <w:pStyle w:val="Heading1"/>
      </w:pPr>
      <w:r>
        <w:t>7. Entrenamiento del modelo visual</w:t>
      </w:r>
    </w:p>
    <w:p>
      <w:pPr>
        <w:pStyle w:val="ListBullet"/>
      </w:pPr>
      <w:r>
        <w:t>Línea base: ResNet18 preentrenado.</w:t>
      </w:r>
    </w:p>
    <w:p>
      <w:pPr>
        <w:pStyle w:val="ListBullet"/>
      </w:pPr>
      <w:r>
        <w:t>Comparación opcional: EfficientNet-B0.</w:t>
      </w:r>
    </w:p>
    <w:p>
      <w:pPr>
        <w:pStyle w:val="ListBullet"/>
      </w:pPr>
      <w:r>
        <w:t>Imagen de entrada: 224 x 224.</w:t>
      </w:r>
    </w:p>
    <w:p>
      <w:pPr>
        <w:pStyle w:val="ListBullet"/>
      </w:pPr>
      <w:r>
        <w:t>Pérdida: cross-entropy; considerar pesos de clase si existe desbalance.</w:t>
      </w:r>
    </w:p>
    <w:p>
      <w:pPr>
        <w:pStyle w:val="ListBullet"/>
      </w:pPr>
      <w:r>
        <w:t>Selección del mejor checkpoint por macro-F1 de validación.</w:t>
      </w:r>
    </w:p>
    <w:p>
      <w:pPr>
        <w:pStyle w:val="ListBullet"/>
      </w:pPr>
      <w:r>
        <w:t>Test reservado hasta el final.</w:t>
      </w:r>
    </w:p>
    <w:p>
      <w:pPr>
        <w:pStyle w:val="Heading1"/>
      </w:pPr>
      <w:r>
        <w:t>8. Entrenamiento de Stable Diffusion 1.5 con LoRA</w:t>
      </w:r>
    </w:p>
    <w:p>
      <w:pPr>
        <w:pStyle w:val="ListNumber"/>
      </w:pPr>
      <w:r>
        <w:t>Seleccionar imágenes reales verificadas de una o dos clases minoritarias.</w:t>
      </w:r>
    </w:p>
    <w:p>
      <w:pPr>
        <w:pStyle w:val="ListNumber"/>
      </w:pPr>
      <w:r>
        <w:t>Crear captions consistentes con el trigger word seedcare.</w:t>
      </w:r>
    </w:p>
    <w:p>
      <w:pPr>
        <w:pStyle w:val="ListNumber"/>
      </w:pPr>
      <w:r>
        <w:t>Construir una carpeta ImageFolder con metadata.jsonl.</w:t>
      </w:r>
    </w:p>
    <w:p>
      <w:pPr>
        <w:pStyle w:val="ListNumber"/>
      </w:pPr>
      <w:r>
        <w:t>Ejecutar una prueba técnica de 50 pasos.</w:t>
      </w:r>
    </w:p>
    <w:p>
      <w:pPr>
        <w:pStyle w:val="ListNumber"/>
      </w:pPr>
      <w:r>
        <w:t>Entrenar aproximadamente 800 pasos en Google Colab con GPU.</w:t>
      </w:r>
    </w:p>
    <w:p>
      <w:pPr>
        <w:pStyle w:val="ListNumber"/>
      </w:pPr>
      <w:r>
        <w:t>Guardar el adaptador LoRA, checkpoints y muestras de validación.</w:t>
      </w:r>
    </w:p>
    <w:p>
      <w:pPr>
        <w:pStyle w:val="ListNumber"/>
      </w:pPr>
      <w:r>
        <w:t>Generar varias imágenes por prompt y registrar seed y configuración.</w:t>
      </w:r>
    </w:p>
    <w:p>
      <w:pPr>
        <w:pStyle w:val="ListNumber"/>
      </w:pPr>
      <w:r>
        <w:t>Aplicar revisión humana de calidad y fidelidad de etiqueta.</w:t>
      </w:r>
    </w:p>
    <w:p>
      <w:pPr>
        <w:pStyle w:val="ListNumber"/>
      </w:pPr>
      <w:r>
        <w:t>Incorporar únicamente las imágenes aceptadas a train.</w:t>
      </w:r>
    </w:p>
    <w:p>
      <w:r>
        <w:t>Configuración inicial: resolución 512, batch 1, gradient accumulation 4, learning rate 1e-4, rank 8 y precisión fp16. Estos valores son un punto de partida y deben ajustarse según la GPU y la estabilidad observada.</w:t>
      </w:r>
    </w:p>
    <w:p>
      <w:pPr>
        <w:pStyle w:val="Heading1"/>
      </w:pPr>
      <w:r>
        <w:t>9. Construcción del RAG</w:t>
      </w:r>
    </w:p>
    <w:p>
      <w:pPr>
        <w:pStyle w:val="ListNumber"/>
      </w:pPr>
      <w:r>
        <w:t>Reunir artículos, manuales y fichas con procedencia verificable.</w:t>
      </w:r>
    </w:p>
    <w:p>
      <w:pPr>
        <w:pStyle w:val="ListNumber"/>
      </w:pPr>
      <w:r>
        <w:t>Extraer texto y registrar título, institución, año y temas.</w:t>
      </w:r>
    </w:p>
    <w:p>
      <w:pPr>
        <w:pStyle w:val="ListNumber"/>
      </w:pPr>
      <w:r>
        <w:t>Dividir el texto en fragmentos con solapamiento.</w:t>
      </w:r>
    </w:p>
    <w:p>
      <w:pPr>
        <w:pStyle w:val="ListNumber"/>
      </w:pPr>
      <w:r>
        <w:t>Crear embeddings multilingües y un índice FAISS.</w:t>
      </w:r>
    </w:p>
    <w:p>
      <w:pPr>
        <w:pStyle w:val="ListNumber"/>
      </w:pPr>
      <w:r>
        <w:t>Construir la consulta con la clase estimada y observaciones visuales.</w:t>
      </w:r>
    </w:p>
    <w:p>
      <w:pPr>
        <w:pStyle w:val="ListNumber"/>
      </w:pPr>
      <w:r>
        <w:t>Recuperar top-k fragmentos y mostrar fuente, score y texto.</w:t>
      </w:r>
    </w:p>
    <w:p>
      <w:pPr>
        <w:pStyle w:val="ListNumber"/>
      </w:pPr>
      <w:r>
        <w:t>Generar el informe usando solo el contexto recuperado y una advertencia explícita.</w:t>
      </w:r>
    </w:p>
    <w:p>
      <w:pPr>
        <w:pStyle w:val="Heading1"/>
      </w:pPr>
      <w:r>
        <w:t>10. Métricas y experimentos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</w:rPr>
              <w:t>Métricas principales</w:t>
            </w:r>
          </w:p>
        </w:tc>
      </w:tr>
      <w:tr>
        <w:tc>
          <w:tcPr>
            <w:tcW w:type="dxa" w:w="2160"/>
            <w:vAlign w:val="top"/>
          </w:tcPr>
          <w:p>
            <w:r>
              <w:t>Modelo visual</w:t>
            </w:r>
          </w:p>
        </w:tc>
        <w:tc>
          <w:tcPr>
            <w:tcW w:type="dxa" w:w="7488"/>
            <w:vAlign w:val="top"/>
          </w:tcPr>
          <w:p>
            <w:r>
              <w:t>Accuracy, macro-F1, precision/recall por clase, matriz de confusión.</w:t>
            </w:r>
          </w:p>
        </w:tc>
      </w:tr>
      <w:tr>
        <w:tc>
          <w:tcPr>
            <w:tcW w:type="dxa" w:w="2160"/>
            <w:vAlign w:val="top"/>
          </w:tcPr>
          <w:p>
            <w:r>
              <w:t>LoRA</w:t>
            </w:r>
          </w:p>
        </w:tc>
        <w:tc>
          <w:tcPr>
            <w:tcW w:type="dxa" w:w="7488"/>
            <w:vAlign w:val="top"/>
          </w:tcPr>
          <w:p>
            <w:r>
              <w:t>Pérdida, calidad visual 1-5, fidelidad de etiqueta 1-5, tasa de aceptación.</w:t>
            </w:r>
          </w:p>
        </w:tc>
      </w:tr>
      <w:tr>
        <w:tc>
          <w:tcPr>
            <w:tcW w:type="dxa" w:w="2160"/>
            <w:vAlign w:val="top"/>
          </w:tcPr>
          <w:p>
            <w:r>
              <w:t>Efecto sintético</w:t>
            </w:r>
          </w:p>
        </w:tc>
        <w:tc>
          <w:tcPr>
            <w:tcW w:type="dxa" w:w="7488"/>
            <w:vAlign w:val="top"/>
          </w:tcPr>
          <w:p>
            <w:r>
              <w:t>Macro-F1 y F1 minoritaria antes/después de incorporar sintéticos.</w:t>
            </w:r>
          </w:p>
        </w:tc>
      </w:tr>
      <w:tr>
        <w:tc>
          <w:tcPr>
            <w:tcW w:type="dxa" w:w="2160"/>
            <w:vAlign w:val="top"/>
          </w:tcPr>
          <w:p>
            <w:r>
              <w:t>RAG</w:t>
            </w:r>
          </w:p>
        </w:tc>
        <w:tc>
          <w:tcPr>
            <w:tcW w:type="dxa" w:w="7488"/>
            <w:vAlign w:val="top"/>
          </w:tcPr>
          <w:p>
            <w:r>
              <w:t>Precision@k, Recall@k, MRR, respaldo de afirmaciones y latencia.</w:t>
            </w:r>
          </w:p>
        </w:tc>
      </w:tr>
      <w:tr>
        <w:tc>
          <w:tcPr>
            <w:tcW w:type="dxa" w:w="2160"/>
            <w:vAlign w:val="top"/>
          </w:tcPr>
          <w:p>
            <w:r>
              <w:t>Sistema</w:t>
            </w:r>
          </w:p>
        </w:tc>
        <w:tc>
          <w:tcPr>
            <w:tcW w:type="dxa" w:w="7488"/>
            <w:vAlign w:val="top"/>
          </w:tcPr>
          <w:p>
            <w:r>
              <w:t>Tiempo total, claridad del informe y presencia de fuentes/limitaciones.</w:t>
            </w:r>
          </w:p>
        </w:tc>
      </w:tr>
    </w:tbl>
    <w:p/>
    <w:p>
      <w:pPr>
        <w:pStyle w:val="Heading1"/>
      </w:pPr>
      <w:r>
        <w:t>11. Uso de Codex local</w:t>
      </w:r>
    </w:p>
    <w:p>
      <w:r>
        <w:t>Codex se utilizará para implementar tareas delimitadas dentro del repositorio, ejecutar pruebas y revisar cambios. Los prompts se encuentran en la carpeta codex/. Cada tarea debe trabajarse en una rama separada, con revisión del diff antes del commit. Codex no debe inventar métricas, eliminar datos originales ni incluir credenciales.</w:t>
      </w:r>
    </w:p>
    <w:p>
      <w:pPr>
        <w:pStyle w:val="ListBullet"/>
      </w:pPr>
      <w:r>
        <w:t>Primero inspeccionar y planificar.</w:t>
      </w:r>
    </w:p>
    <w:p>
      <w:pPr>
        <w:pStyle w:val="ListBullet"/>
      </w:pPr>
      <w:r>
        <w:t>Una tarea por prompt y rama.</w:t>
      </w:r>
    </w:p>
    <w:p>
      <w:pPr>
        <w:pStyle w:val="ListBullet"/>
      </w:pPr>
      <w:r>
        <w:t>Ejecutar pruebas antes de entregar.</w:t>
      </w:r>
    </w:p>
    <w:p>
      <w:pPr>
        <w:pStyle w:val="ListBullet"/>
      </w:pPr>
      <w:r>
        <w:t>Revisar cambios humanos antes del merge.</w:t>
      </w:r>
    </w:p>
    <w:p>
      <w:pPr>
        <w:pStyle w:val="ListBullet"/>
      </w:pPr>
      <w:r>
        <w:t>No delegar decisiones de etiquetado dudoso sin supervisión.</w:t>
      </w:r>
    </w:p>
    <w:p>
      <w:pPr>
        <w:pStyle w:val="Heading1"/>
      </w:pPr>
      <w:r>
        <w:t>12. Flujo de GitHub</w:t>
      </w:r>
    </w:p>
    <w:p>
      <w:pPr>
        <w:pStyle w:val="ListNumber"/>
      </w:pPr>
      <w:r>
        <w:t>Crear el repositorio privado rag-lora-stable-diffusion-seeds.</w:t>
      </w:r>
    </w:p>
    <w:p>
      <w:pPr>
        <w:pStyle w:val="ListNumber"/>
      </w:pPr>
      <w:r>
        <w:t>Subir esta estructura a main como versión inicial.</w:t>
      </w:r>
    </w:p>
    <w:p>
      <w:pPr>
        <w:pStyle w:val="ListNumber"/>
      </w:pPr>
      <w:r>
        <w:t>Crear ramas feature/dataset-audit, feature/vision-training, feature/lora-training, feature/rag y feature/app.</w:t>
      </w:r>
    </w:p>
    <w:p>
      <w:pPr>
        <w:pStyle w:val="ListNumber"/>
      </w:pPr>
      <w:r>
        <w:t>Realizar commits pequeños y abrir Pull Requests.</w:t>
      </w:r>
    </w:p>
    <w:p>
      <w:pPr>
        <w:pStyle w:val="ListNumber"/>
      </w:pPr>
      <w:r>
        <w:t>Requerir revisión de otro integrante antes de fusionar.</w:t>
      </w:r>
    </w:p>
    <w:p>
      <w:pPr>
        <w:pStyle w:val="ListNumber"/>
      </w:pPr>
      <w:r>
        <w:t>Mantener datasets, pesos y credenciales fuera de Git.</w:t>
      </w:r>
    </w:p>
    <w:p>
      <w:pPr>
        <w:pStyle w:val="Heading1"/>
      </w:pPr>
      <w:r>
        <w:t>13. Cronograma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fill="D9EAF7"/>
            <w:vAlign w:val="center"/>
          </w:tcPr>
          <w:p>
            <w:r>
              <w:rPr>
                <w:b/>
              </w:rPr>
              <w:t>Día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Trabajo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864"/>
            <w:vAlign w:val="top"/>
          </w:tcPr>
          <w:p>
            <w:r>
              <w:t>1</w:t>
            </w:r>
          </w:p>
        </w:tc>
        <w:tc>
          <w:tcPr>
            <w:tcW w:type="dxa" w:w="4896"/>
            <w:vAlign w:val="top"/>
          </w:tcPr>
          <w:p>
            <w:r>
              <w:t>Repositorio, auditoría y etiquetas.</w:t>
            </w:r>
          </w:p>
        </w:tc>
        <w:tc>
          <w:tcPr>
            <w:tcW w:type="dxa" w:w="3888"/>
            <w:vAlign w:val="top"/>
          </w:tcPr>
          <w:p>
            <w:r>
              <w:t>summary.json, images.csv y distribución.</w:t>
            </w:r>
          </w:p>
        </w:tc>
      </w:tr>
      <w:tr>
        <w:tc>
          <w:tcPr>
            <w:tcW w:type="dxa" w:w="864"/>
            <w:vAlign w:val="top"/>
          </w:tcPr>
          <w:p>
            <w:r>
              <w:t>2</w:t>
            </w:r>
          </w:p>
        </w:tc>
        <w:tc>
          <w:tcPr>
            <w:tcW w:type="dxa" w:w="4896"/>
            <w:vAlign w:val="top"/>
          </w:tcPr>
          <w:p>
            <w:r>
              <w:t>Split, aumento clásico y línea base.</w:t>
            </w:r>
          </w:p>
        </w:tc>
        <w:tc>
          <w:tcPr>
            <w:tcW w:type="dxa" w:w="3888"/>
            <w:vAlign w:val="top"/>
          </w:tcPr>
          <w:p>
            <w:r>
              <w:t>Metadatos con split y primer entrenamiento.</w:t>
            </w:r>
          </w:p>
        </w:tc>
      </w:tr>
      <w:tr>
        <w:tc>
          <w:tcPr>
            <w:tcW w:type="dxa" w:w="864"/>
            <w:vAlign w:val="top"/>
          </w:tcPr>
          <w:p>
            <w:r>
              <w:t>3</w:t>
            </w:r>
          </w:p>
        </w:tc>
        <w:tc>
          <w:tcPr>
            <w:tcW w:type="dxa" w:w="4896"/>
            <w:vAlign w:val="top"/>
          </w:tcPr>
          <w:p>
            <w:r>
              <w:t>Fine-tuning visual.</w:t>
            </w:r>
          </w:p>
        </w:tc>
        <w:tc>
          <w:tcPr>
            <w:tcW w:type="dxa" w:w="3888"/>
            <w:vAlign w:val="top"/>
          </w:tcPr>
          <w:p>
            <w:r>
              <w:t>Checkpoint y métricas.</w:t>
            </w:r>
          </w:p>
        </w:tc>
      </w:tr>
      <w:tr>
        <w:tc>
          <w:tcPr>
            <w:tcW w:type="dxa" w:w="864"/>
            <w:vAlign w:val="top"/>
          </w:tcPr>
          <w:p>
            <w:r>
              <w:t>4</w:t>
            </w:r>
          </w:p>
        </w:tc>
        <w:tc>
          <w:tcPr>
            <w:tcW w:type="dxa" w:w="4896"/>
            <w:vAlign w:val="top"/>
          </w:tcPr>
          <w:p>
            <w:r>
              <w:t>Preparación y entrenamiento LoRA.</w:t>
            </w:r>
          </w:p>
        </w:tc>
        <w:tc>
          <w:tcPr>
            <w:tcW w:type="dxa" w:w="3888"/>
            <w:vAlign w:val="top"/>
          </w:tcPr>
          <w:p>
            <w:r>
              <w:t>Adaptador y muestras.</w:t>
            </w:r>
          </w:p>
        </w:tc>
      </w:tr>
      <w:tr>
        <w:tc>
          <w:tcPr>
            <w:tcW w:type="dxa" w:w="864"/>
            <w:vAlign w:val="top"/>
          </w:tcPr>
          <w:p>
            <w:r>
              <w:t>5</w:t>
            </w:r>
          </w:p>
        </w:tc>
        <w:tc>
          <w:tcPr>
            <w:tcW w:type="dxa" w:w="4896"/>
            <w:vAlign w:val="top"/>
          </w:tcPr>
          <w:p>
            <w:r>
              <w:t>Filtrado sintético, comparación y RAG.</w:t>
            </w:r>
          </w:p>
        </w:tc>
        <w:tc>
          <w:tcPr>
            <w:tcW w:type="dxa" w:w="3888"/>
            <w:vAlign w:val="top"/>
          </w:tcPr>
          <w:p>
            <w:r>
              <w:t>Tabla antes/después e índice.</w:t>
            </w:r>
          </w:p>
        </w:tc>
      </w:tr>
      <w:tr>
        <w:tc>
          <w:tcPr>
            <w:tcW w:type="dxa" w:w="864"/>
            <w:vAlign w:val="top"/>
          </w:tcPr>
          <w:p>
            <w:r>
              <w:t>6</w:t>
            </w:r>
          </w:p>
        </w:tc>
        <w:tc>
          <w:tcPr>
            <w:tcW w:type="dxa" w:w="4896"/>
            <w:vAlign w:val="top"/>
          </w:tcPr>
          <w:p>
            <w:r>
              <w:t>Integración, ética y pruebas.</w:t>
            </w:r>
          </w:p>
        </w:tc>
        <w:tc>
          <w:tcPr>
            <w:tcW w:type="dxa" w:w="3888"/>
            <w:vAlign w:val="top"/>
          </w:tcPr>
          <w:p>
            <w:r>
              <w:t>Demo funcional y resultados.</w:t>
            </w:r>
          </w:p>
        </w:tc>
      </w:tr>
      <w:tr>
        <w:tc>
          <w:tcPr>
            <w:tcW w:type="dxa" w:w="864"/>
            <w:vAlign w:val="top"/>
          </w:tcPr>
          <w:p>
            <w:r>
              <w:t>7</w:t>
            </w:r>
          </w:p>
        </w:tc>
        <w:tc>
          <w:tcPr>
            <w:tcW w:type="dxa" w:w="4896"/>
            <w:vAlign w:val="top"/>
          </w:tcPr>
          <w:p>
            <w:r>
              <w:t>Informe IEEE y sustentación.</w:t>
            </w:r>
          </w:p>
        </w:tc>
        <w:tc>
          <w:tcPr>
            <w:tcW w:type="dxa" w:w="3888"/>
            <w:vAlign w:val="top"/>
          </w:tcPr>
          <w:p>
            <w:r>
              <w:t>Documento, diapositivas y video de respaldo.</w:t>
            </w:r>
          </w:p>
        </w:tc>
      </w:tr>
    </w:tbl>
    <w:p/>
    <w:p>
      <w:pPr>
        <w:pStyle w:val="Heading1"/>
      </w:pPr>
      <w:r>
        <w:t>14. Riesgos y contingencias</w:t>
      </w:r>
    </w:p>
    <w:p>
      <w:pPr>
        <w:pStyle w:val="ListBullet"/>
      </w:pPr>
      <w:r>
        <w:t>Etiquetas insuficientes o ambiguas: reducir subclases y mantener cuatro categorías principales.</w:t>
      </w:r>
    </w:p>
    <w:p>
      <w:pPr>
        <w:pStyle w:val="ListBullet"/>
      </w:pPr>
      <w:r>
        <w:t>LoRA de baja calidad: conservar comparación honesta y usar solo imágenes aceptadas.</w:t>
      </w:r>
    </w:p>
    <w:p>
      <w:pPr>
        <w:pStyle w:val="ListBullet"/>
      </w:pPr>
      <w:r>
        <w:t>GPU de Colab no disponible: guardar checkpoints, muestras y video de respaldo.</w:t>
      </w:r>
    </w:p>
    <w:p>
      <w:pPr>
        <w:pStyle w:val="ListBullet"/>
      </w:pPr>
      <w:r>
        <w:t>RAG con fuentes débiles: priorizar documentos oficiales, artículos y manuales con procedencia.</w:t>
      </w:r>
    </w:p>
    <w:p>
      <w:pPr>
        <w:pStyle w:val="ListBullet"/>
      </w:pPr>
      <w:r>
        <w:t>Clasificación errónea: mostrar probabilidades y permitir resultado no concluyente.</w:t>
      </w:r>
    </w:p>
    <w:p>
      <w:pPr>
        <w:pStyle w:val="Heading1"/>
      </w:pPr>
      <w:r>
        <w:t>15. Reflexión ética</w:t>
      </w:r>
    </w:p>
    <w:p>
      <w:r>
        <w:t>El proyecto debe comunicar que una imagen no confirma una enfermedad. Debe evitar recomendaciones categóricas, informar las limitaciones del dataset y registrar la procedencia de los documentos. Las imágenes sintéticas deben identificarse como tales y no usarse como evidencia real. La supervisión humana es obligatoria para revisar etiquetas, resultados y recomendaciones.</w:t>
      </w:r>
    </w:p>
    <w:p>
      <w:pPr>
        <w:pStyle w:val="Heading1"/>
      </w:pPr>
      <w:r>
        <w:t>16. Entregables finales</w:t>
      </w:r>
    </w:p>
    <w:p>
      <w:pPr>
        <w:pStyle w:val="ListBullet"/>
      </w:pPr>
      <w:r>
        <w:t>Repositorio GitHub con README e instrucciones de ejecución.</w:t>
      </w:r>
    </w:p>
    <w:p>
      <w:pPr>
        <w:pStyle w:val="ListBullet"/>
      </w:pPr>
      <w:r>
        <w:t>Dataset documentado y metadatos reproducibles.</w:t>
      </w:r>
    </w:p>
    <w:p>
      <w:pPr>
        <w:pStyle w:val="ListBullet"/>
      </w:pPr>
      <w:r>
        <w:t>Checkpoint del clasificador visual.</w:t>
      </w:r>
    </w:p>
    <w:p>
      <w:pPr>
        <w:pStyle w:val="ListBullet"/>
      </w:pPr>
      <w:r>
        <w:t>Adaptador LoRA de Stable Diffusion 1.5.</w:t>
      </w:r>
    </w:p>
    <w:p>
      <w:pPr>
        <w:pStyle w:val="ListBullet"/>
      </w:pPr>
      <w:r>
        <w:t>Índice RAG y conjunto de fuentes documentadas.</w:t>
      </w:r>
    </w:p>
    <w:p>
      <w:pPr>
        <w:pStyle w:val="ListBullet"/>
      </w:pPr>
      <w:r>
        <w:t>Aplicación Streamlit demostrable.</w:t>
      </w:r>
    </w:p>
    <w:p>
      <w:pPr>
        <w:pStyle w:val="ListBullet"/>
      </w:pPr>
      <w:r>
        <w:t>Métricas, tablas y figuras.</w:t>
      </w:r>
    </w:p>
    <w:p>
      <w:pPr>
        <w:pStyle w:val="ListBullet"/>
      </w:pPr>
      <w:r>
        <w:t>Informe IEEE, presentación y plan de contingencia.</w:t>
      </w:r>
    </w:p>
    <w:p>
      <w:pPr>
        <w:pStyle w:val="Heading1"/>
      </w:pPr>
      <w:r>
        <w:t>17. Referencias técnicas sugeridas</w:t>
      </w:r>
    </w:p>
    <w:p>
      <w:pPr>
        <w:pStyle w:val="ListBullet"/>
      </w:pPr>
      <w:r>
        <w:t>Documento de alcance del Proyecto Integrador ISIA-119.</w:t>
      </w:r>
    </w:p>
    <w:p>
      <w:pPr>
        <w:pStyle w:val="ListBullet"/>
      </w:pPr>
      <w:r>
        <w:t>Documentación oficial de PyTorch sobre transfer learning para visión.</w:t>
      </w:r>
    </w:p>
    <w:p>
      <w:pPr>
        <w:pStyle w:val="ListBullet"/>
      </w:pPr>
      <w:r>
        <w:t>Documentación oficial de Hugging Face Diffusers y script train_text_to_image_lora.py.</w:t>
      </w:r>
    </w:p>
    <w:p>
      <w:pPr>
        <w:pStyle w:val="ListBullet"/>
      </w:pPr>
      <w:r>
        <w:t>Documentación de Transformers para modelos de embeddings y CLIP.</w:t>
      </w:r>
    </w:p>
    <w:p>
      <w:pPr>
        <w:pStyle w:val="ListBullet"/>
      </w:pPr>
      <w:r>
        <w:t>Documentación oficial de FAISS para búsqueda de similitud.</w:t>
      </w:r>
    </w:p>
    <w:p>
      <w:pPr>
        <w:pStyle w:val="ListBullet"/>
      </w:pPr>
      <w:r>
        <w:t>Documentación oficial de OpenAI Codex para flujos locales y revisión de repositorios.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ISIA-119 - Grupo 1 -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SeedCare-RAG LoRA | Plan técnico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